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DACD9" w14:textId="77777777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sz w:val="22"/>
          <w:szCs w:val="22"/>
        </w:rPr>
      </w:pPr>
    </w:p>
    <w:p w14:paraId="012CDBA6" w14:textId="70E8B535" w:rsidR="00191809" w:rsidRPr="00260BE2" w:rsidRDefault="00191809" w:rsidP="000C4A7A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0CECE" w:themeFill="background2" w:themeFillShade="E6"/>
        <w:ind w:left="641"/>
        <w:jc w:val="center"/>
        <w:rPr>
          <w:rFonts w:ascii="Arial" w:hAnsi="Arial"/>
          <w:b/>
          <w:sz w:val="22"/>
          <w:szCs w:val="22"/>
        </w:rPr>
      </w:pPr>
      <w:r w:rsidRPr="00260BE2">
        <w:rPr>
          <w:rFonts w:ascii="Arial" w:hAnsi="Arial"/>
          <w:b/>
          <w:sz w:val="22"/>
          <w:szCs w:val="22"/>
        </w:rPr>
        <w:t>TERMO DE REFER</w:t>
      </w:r>
      <w:r w:rsidR="0039345B" w:rsidRPr="00260BE2">
        <w:rPr>
          <w:rFonts w:ascii="Arial" w:hAnsi="Arial"/>
          <w:b/>
          <w:sz w:val="22"/>
          <w:szCs w:val="22"/>
        </w:rPr>
        <w:t>Ê</w:t>
      </w:r>
      <w:r w:rsidRPr="00260BE2">
        <w:rPr>
          <w:rFonts w:ascii="Arial" w:hAnsi="Arial"/>
          <w:b/>
          <w:sz w:val="22"/>
          <w:szCs w:val="22"/>
        </w:rPr>
        <w:t>NCIA</w:t>
      </w:r>
    </w:p>
    <w:p w14:paraId="30F3287A" w14:textId="77777777" w:rsidR="00191809" w:rsidRPr="00260BE2" w:rsidRDefault="00191809" w:rsidP="00191809">
      <w:pPr>
        <w:ind w:left="641" w:firstLine="567"/>
        <w:jc w:val="both"/>
        <w:rPr>
          <w:rFonts w:ascii="Arial" w:hAnsi="Arial"/>
          <w:sz w:val="22"/>
          <w:szCs w:val="22"/>
        </w:rPr>
      </w:pPr>
    </w:p>
    <w:p w14:paraId="7B649A7F" w14:textId="4F6427B2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sz w:val="22"/>
          <w:szCs w:val="22"/>
        </w:rPr>
      </w:pPr>
      <w:r w:rsidRPr="00260BE2">
        <w:rPr>
          <w:rFonts w:ascii="Arial" w:hAnsi="Arial"/>
          <w:sz w:val="22"/>
          <w:szCs w:val="22"/>
        </w:rPr>
        <w:t xml:space="preserve">Em atenção ao disposto na Lei 14.133/2021 (Lei de Licitações), vimos por meio desta requerer a abertura </w:t>
      </w:r>
      <w:r w:rsidR="00255DEE" w:rsidRPr="00260BE2">
        <w:rPr>
          <w:rFonts w:ascii="Arial" w:hAnsi="Arial"/>
          <w:sz w:val="22"/>
          <w:szCs w:val="22"/>
        </w:rPr>
        <w:t>d</w:t>
      </w:r>
      <w:r w:rsidRPr="00260BE2">
        <w:rPr>
          <w:rFonts w:ascii="Arial" w:hAnsi="Arial"/>
          <w:sz w:val="22"/>
          <w:szCs w:val="22"/>
        </w:rPr>
        <w:t xml:space="preserve">e </w:t>
      </w:r>
      <w:r w:rsidR="00E6614E" w:rsidRPr="00260BE2">
        <w:rPr>
          <w:rFonts w:ascii="Arial" w:hAnsi="Arial"/>
          <w:color w:val="000000"/>
          <w:sz w:val="22"/>
          <w:szCs w:val="22"/>
        </w:rPr>
        <w:t xml:space="preserve">Processo Licitatório, modalidade </w:t>
      </w:r>
      <w:r w:rsidR="00865FA2">
        <w:rPr>
          <w:rFonts w:ascii="Arial" w:hAnsi="Arial"/>
          <w:b/>
          <w:bCs/>
          <w:sz w:val="22"/>
          <w:szCs w:val="22"/>
        </w:rPr>
        <w:t>CONCORRÊNCIA PRESENCIAL</w:t>
      </w:r>
      <w:r w:rsidR="00E6614E" w:rsidRPr="00260BE2">
        <w:rPr>
          <w:rFonts w:ascii="Arial" w:hAnsi="Arial"/>
          <w:b/>
          <w:bCs/>
          <w:sz w:val="22"/>
          <w:szCs w:val="22"/>
        </w:rPr>
        <w:t>,</w:t>
      </w:r>
      <w:r w:rsidR="00E6614E" w:rsidRPr="00260BE2">
        <w:rPr>
          <w:rFonts w:ascii="Arial" w:hAnsi="Arial"/>
          <w:sz w:val="22"/>
          <w:szCs w:val="22"/>
        </w:rPr>
        <w:t xml:space="preserve"> </w:t>
      </w:r>
      <w:r w:rsidR="00E6614E" w:rsidRPr="00260BE2">
        <w:rPr>
          <w:rFonts w:ascii="Arial" w:hAnsi="Arial"/>
          <w:color w:val="000000"/>
          <w:sz w:val="22"/>
          <w:szCs w:val="22"/>
        </w:rPr>
        <w:t>nos termos a seguir elencados</w:t>
      </w:r>
      <w:r w:rsidR="004D56ED" w:rsidRPr="00260BE2">
        <w:rPr>
          <w:rFonts w:ascii="Arial" w:hAnsi="Arial"/>
          <w:color w:val="000000"/>
          <w:sz w:val="22"/>
          <w:szCs w:val="22"/>
        </w:rPr>
        <w:t>.</w:t>
      </w:r>
    </w:p>
    <w:p w14:paraId="5D87FF18" w14:textId="77777777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sz w:val="22"/>
          <w:szCs w:val="22"/>
        </w:rPr>
      </w:pPr>
    </w:p>
    <w:p w14:paraId="4552352D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sz w:val="22"/>
          <w:szCs w:val="22"/>
        </w:rPr>
      </w:pPr>
      <w:r w:rsidRPr="00260BE2">
        <w:rPr>
          <w:rFonts w:ascii="Arial" w:hAnsi="Arial"/>
          <w:b/>
          <w:sz w:val="22"/>
          <w:szCs w:val="22"/>
        </w:rPr>
        <w:t>ÓRGÃO SOLICITANTE</w:t>
      </w:r>
    </w:p>
    <w:p w14:paraId="3E4CDD28" w14:textId="68B5730A" w:rsidR="0039345B" w:rsidRPr="00CE68F9" w:rsidRDefault="003F1CBB" w:rsidP="00191809">
      <w:pPr>
        <w:pStyle w:val="Standard"/>
        <w:ind w:left="641"/>
        <w:jc w:val="both"/>
        <w:rPr>
          <w:rFonts w:ascii="Arial" w:eastAsia="Calibri" w:hAnsi="Arial"/>
          <w:bCs/>
          <w:sz w:val="22"/>
          <w:szCs w:val="22"/>
        </w:rPr>
      </w:pPr>
      <w:r w:rsidRPr="00CE68F9">
        <w:rPr>
          <w:rFonts w:ascii="Arial" w:eastAsia="Calibri" w:hAnsi="Arial"/>
          <w:bCs/>
          <w:sz w:val="22"/>
          <w:szCs w:val="22"/>
        </w:rPr>
        <w:t xml:space="preserve">Secretaria de </w:t>
      </w:r>
      <w:r w:rsidR="002D2B9F" w:rsidRPr="002D2B9F">
        <w:rPr>
          <w:rFonts w:ascii="Arial" w:eastAsia="Calibri" w:hAnsi="Arial"/>
          <w:bCs/>
          <w:sz w:val="22"/>
          <w:szCs w:val="22"/>
        </w:rPr>
        <w:t>Infraestrutura Urbana</w:t>
      </w:r>
      <w:r w:rsidR="00344E14" w:rsidRPr="00CE68F9">
        <w:rPr>
          <w:rFonts w:ascii="Arial" w:eastAsia="Calibri" w:hAnsi="Arial"/>
          <w:bCs/>
          <w:sz w:val="22"/>
          <w:szCs w:val="22"/>
        </w:rPr>
        <w:t>.</w:t>
      </w:r>
    </w:p>
    <w:p w14:paraId="60F7F79C" w14:textId="77777777" w:rsidR="00A66B6E" w:rsidRPr="00260BE2" w:rsidRDefault="00A66B6E" w:rsidP="00191809">
      <w:pPr>
        <w:pStyle w:val="Standard"/>
        <w:ind w:left="641"/>
        <w:jc w:val="both"/>
        <w:rPr>
          <w:rFonts w:ascii="Arial" w:hAnsi="Arial"/>
          <w:sz w:val="22"/>
          <w:szCs w:val="22"/>
          <w:shd w:val="clear" w:color="auto" w:fill="FFFFFF"/>
        </w:rPr>
      </w:pPr>
    </w:p>
    <w:p w14:paraId="3A489509" w14:textId="77777777" w:rsidR="00191809" w:rsidRPr="00260BE2" w:rsidRDefault="00191809" w:rsidP="000C4A7A">
      <w:pPr>
        <w:numPr>
          <w:ilvl w:val="0"/>
          <w:numId w:val="1"/>
        </w:numPr>
        <w:shd w:val="clear" w:color="auto" w:fill="D0CECE" w:themeFill="background2" w:themeFillShade="E6"/>
        <w:suppressAutoHyphens w:val="0"/>
        <w:autoSpaceDN/>
        <w:ind w:left="641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  <w:t>MODALIDADE DA LICITAÇÃO</w:t>
      </w:r>
    </w:p>
    <w:p w14:paraId="0D8A5709" w14:textId="241282AB" w:rsidR="00191809" w:rsidRPr="00260BE2" w:rsidRDefault="00191809" w:rsidP="00191809">
      <w:pPr>
        <w:spacing w:before="60" w:after="60"/>
        <w:ind w:left="641"/>
        <w:jc w:val="both"/>
        <w:rPr>
          <w:rFonts w:ascii="Arial" w:eastAsia="Calibri" w:hAnsi="Arial"/>
          <w:b/>
          <w:bCs/>
          <w:sz w:val="22"/>
          <w:szCs w:val="22"/>
        </w:rPr>
      </w:pPr>
      <w:r w:rsidRPr="00260BE2">
        <w:rPr>
          <w:rFonts w:ascii="Arial" w:eastAsia="Calibri" w:hAnsi="Arial"/>
          <w:b/>
          <w:bCs/>
          <w:sz w:val="22"/>
          <w:szCs w:val="22"/>
        </w:rPr>
        <w:t xml:space="preserve">( </w:t>
      </w:r>
      <w:r w:rsidR="005D1AAB">
        <w:rPr>
          <w:rFonts w:ascii="Arial" w:eastAsia="Calibri" w:hAnsi="Arial"/>
          <w:b/>
          <w:bCs/>
          <w:sz w:val="22"/>
          <w:szCs w:val="22"/>
        </w:rPr>
        <w:t xml:space="preserve"> </w:t>
      </w:r>
      <w:r w:rsidRPr="00260BE2">
        <w:rPr>
          <w:rFonts w:ascii="Arial" w:eastAsia="Calibri" w:hAnsi="Arial"/>
          <w:b/>
          <w:bCs/>
          <w:sz w:val="22"/>
          <w:szCs w:val="22"/>
        </w:rPr>
        <w:t xml:space="preserve"> ) Pregão             ( </w:t>
      </w:r>
      <w:r w:rsidR="005D1AAB">
        <w:rPr>
          <w:rFonts w:ascii="Arial" w:eastAsia="Calibri" w:hAnsi="Arial"/>
          <w:b/>
          <w:bCs/>
          <w:sz w:val="22"/>
          <w:szCs w:val="22"/>
        </w:rPr>
        <w:t xml:space="preserve"> </w:t>
      </w:r>
      <w:r w:rsidRPr="00260BE2">
        <w:rPr>
          <w:rFonts w:ascii="Arial" w:eastAsia="Calibri" w:hAnsi="Arial"/>
          <w:b/>
          <w:bCs/>
          <w:sz w:val="22"/>
          <w:szCs w:val="22"/>
        </w:rPr>
        <w:t xml:space="preserve"> ) Eletrônico       (   ) Presencial</w:t>
      </w:r>
    </w:p>
    <w:p w14:paraId="0F39A2CE" w14:textId="05B88713" w:rsidR="00191809" w:rsidRPr="00260BE2" w:rsidRDefault="00191809" w:rsidP="00191809">
      <w:pPr>
        <w:spacing w:before="60" w:after="60"/>
        <w:ind w:left="641"/>
        <w:jc w:val="both"/>
        <w:rPr>
          <w:rFonts w:ascii="Arial" w:eastAsia="Calibri" w:hAnsi="Arial"/>
          <w:b/>
          <w:bCs/>
          <w:sz w:val="22"/>
          <w:szCs w:val="22"/>
        </w:rPr>
      </w:pPr>
      <w:r w:rsidRPr="00260BE2">
        <w:rPr>
          <w:rFonts w:ascii="Arial" w:eastAsia="Calibri" w:hAnsi="Arial"/>
          <w:b/>
          <w:bCs/>
          <w:sz w:val="22"/>
          <w:szCs w:val="22"/>
        </w:rPr>
        <w:t xml:space="preserve">( </w:t>
      </w:r>
      <w:r w:rsidR="005D1AAB">
        <w:rPr>
          <w:rFonts w:ascii="Arial" w:eastAsia="Calibri" w:hAnsi="Arial"/>
          <w:b/>
          <w:bCs/>
          <w:sz w:val="22"/>
          <w:szCs w:val="22"/>
        </w:rPr>
        <w:t>x</w:t>
      </w:r>
      <w:r w:rsidRPr="00260BE2">
        <w:rPr>
          <w:rFonts w:ascii="Arial" w:eastAsia="Calibri" w:hAnsi="Arial"/>
          <w:b/>
          <w:bCs/>
          <w:sz w:val="22"/>
          <w:szCs w:val="22"/>
        </w:rPr>
        <w:t xml:space="preserve"> ) Concorrência    (    ) Eletrônica       ( </w:t>
      </w:r>
      <w:r w:rsidR="005D1AAB">
        <w:rPr>
          <w:rFonts w:ascii="Arial" w:eastAsia="Calibri" w:hAnsi="Arial"/>
          <w:b/>
          <w:bCs/>
          <w:sz w:val="22"/>
          <w:szCs w:val="22"/>
        </w:rPr>
        <w:t>x</w:t>
      </w:r>
      <w:r w:rsidRPr="00260BE2">
        <w:rPr>
          <w:rFonts w:ascii="Arial" w:eastAsia="Calibri" w:hAnsi="Arial"/>
          <w:b/>
          <w:bCs/>
          <w:sz w:val="22"/>
          <w:szCs w:val="22"/>
        </w:rPr>
        <w:t xml:space="preserve"> ) Presencial</w:t>
      </w:r>
    </w:p>
    <w:p w14:paraId="31276498" w14:textId="77777777" w:rsidR="00191809" w:rsidRPr="00260BE2" w:rsidRDefault="00191809" w:rsidP="00191809">
      <w:pPr>
        <w:spacing w:before="60" w:after="60"/>
        <w:ind w:left="641"/>
        <w:jc w:val="both"/>
        <w:rPr>
          <w:rFonts w:ascii="Arial" w:eastAsia="Calibri" w:hAnsi="Arial"/>
          <w:b/>
          <w:bCs/>
          <w:sz w:val="22"/>
          <w:szCs w:val="22"/>
        </w:rPr>
      </w:pPr>
      <w:r w:rsidRPr="00260BE2">
        <w:rPr>
          <w:rFonts w:ascii="Arial" w:eastAsia="Calibri" w:hAnsi="Arial"/>
          <w:b/>
          <w:bCs/>
          <w:sz w:val="22"/>
          <w:szCs w:val="22"/>
        </w:rPr>
        <w:t>(   ) Concurso</w:t>
      </w:r>
    </w:p>
    <w:p w14:paraId="4F4AF80E" w14:textId="77777777" w:rsidR="00191809" w:rsidRPr="00260BE2" w:rsidRDefault="00191809" w:rsidP="00191809">
      <w:pPr>
        <w:spacing w:before="60" w:after="60"/>
        <w:ind w:left="641"/>
        <w:jc w:val="both"/>
        <w:rPr>
          <w:rFonts w:ascii="Arial" w:eastAsia="Calibri" w:hAnsi="Arial"/>
          <w:b/>
          <w:bCs/>
          <w:sz w:val="22"/>
          <w:szCs w:val="22"/>
        </w:rPr>
      </w:pPr>
      <w:r w:rsidRPr="00260BE2">
        <w:rPr>
          <w:rFonts w:ascii="Arial" w:eastAsia="Calibri" w:hAnsi="Arial"/>
          <w:b/>
          <w:bCs/>
          <w:sz w:val="22"/>
          <w:szCs w:val="22"/>
        </w:rPr>
        <w:t>(   ) Leilão</w:t>
      </w:r>
    </w:p>
    <w:p w14:paraId="0A1B0CF4" w14:textId="77777777" w:rsidR="00191809" w:rsidRPr="00260BE2" w:rsidRDefault="00191809" w:rsidP="00191809">
      <w:pPr>
        <w:spacing w:before="60" w:after="60"/>
        <w:ind w:left="641"/>
        <w:jc w:val="both"/>
        <w:rPr>
          <w:rFonts w:ascii="Arial" w:eastAsia="Calibri" w:hAnsi="Arial"/>
          <w:b/>
          <w:bCs/>
          <w:sz w:val="22"/>
          <w:szCs w:val="22"/>
        </w:rPr>
      </w:pPr>
      <w:r w:rsidRPr="00260BE2">
        <w:rPr>
          <w:rFonts w:ascii="Arial" w:eastAsia="Calibri" w:hAnsi="Arial"/>
          <w:b/>
          <w:bCs/>
          <w:sz w:val="22"/>
          <w:szCs w:val="22"/>
        </w:rPr>
        <w:t>(   ) Credenciamento</w:t>
      </w:r>
    </w:p>
    <w:p w14:paraId="4ACC9447" w14:textId="628E126B" w:rsidR="00191809" w:rsidRPr="00260BE2" w:rsidRDefault="00191809" w:rsidP="00191809">
      <w:pPr>
        <w:spacing w:before="60" w:after="60"/>
        <w:ind w:left="641"/>
        <w:jc w:val="both"/>
        <w:rPr>
          <w:rFonts w:ascii="Arial" w:eastAsia="Calibri" w:hAnsi="Arial"/>
          <w:b/>
          <w:bCs/>
          <w:sz w:val="22"/>
          <w:szCs w:val="22"/>
        </w:rPr>
      </w:pPr>
      <w:r w:rsidRPr="00260BE2">
        <w:rPr>
          <w:rFonts w:ascii="Arial" w:eastAsia="Calibri" w:hAnsi="Arial"/>
          <w:b/>
          <w:bCs/>
          <w:sz w:val="22"/>
          <w:szCs w:val="22"/>
        </w:rPr>
        <w:t>(</w:t>
      </w:r>
      <w:r w:rsidR="0039345B" w:rsidRPr="00260BE2">
        <w:rPr>
          <w:rFonts w:ascii="Arial" w:eastAsia="Calibri" w:hAnsi="Arial"/>
          <w:b/>
          <w:bCs/>
          <w:sz w:val="22"/>
          <w:szCs w:val="22"/>
        </w:rPr>
        <w:t xml:space="preserve">   </w:t>
      </w:r>
      <w:r w:rsidRPr="00260BE2">
        <w:rPr>
          <w:rFonts w:ascii="Arial" w:eastAsia="Calibri" w:hAnsi="Arial"/>
          <w:b/>
          <w:bCs/>
          <w:sz w:val="22"/>
          <w:szCs w:val="22"/>
        </w:rPr>
        <w:t>) Registro de Preços</w:t>
      </w:r>
    </w:p>
    <w:p w14:paraId="25614501" w14:textId="77777777" w:rsidR="00191809" w:rsidRPr="00260BE2" w:rsidRDefault="00191809" w:rsidP="00191809">
      <w:pPr>
        <w:spacing w:before="60" w:after="60"/>
        <w:ind w:left="641"/>
        <w:jc w:val="both"/>
        <w:rPr>
          <w:rFonts w:ascii="Arial" w:eastAsia="Calibri" w:hAnsi="Arial"/>
          <w:b/>
          <w:bCs/>
          <w:sz w:val="22"/>
          <w:szCs w:val="22"/>
        </w:rPr>
      </w:pPr>
      <w:r w:rsidRPr="00260BE2">
        <w:rPr>
          <w:rFonts w:ascii="Arial" w:eastAsia="Calibri" w:hAnsi="Arial"/>
          <w:b/>
          <w:bCs/>
          <w:sz w:val="22"/>
          <w:szCs w:val="22"/>
        </w:rPr>
        <w:t>(   ) Dispensa de Licitação   (    ) Eletrônica     (     ) Física           (  ) Emergencial</w:t>
      </w:r>
    </w:p>
    <w:p w14:paraId="1FA10FB5" w14:textId="77777777" w:rsidR="00191809" w:rsidRPr="00260BE2" w:rsidRDefault="00191809" w:rsidP="00191809">
      <w:pPr>
        <w:pStyle w:val="Standard"/>
        <w:ind w:left="1046"/>
        <w:jc w:val="both"/>
        <w:rPr>
          <w:rFonts w:ascii="Arial" w:hAnsi="Arial"/>
          <w:sz w:val="22"/>
          <w:szCs w:val="22"/>
          <w:shd w:val="clear" w:color="auto" w:fill="FFFFFF"/>
        </w:rPr>
      </w:pPr>
    </w:p>
    <w:p w14:paraId="00E44C27" w14:textId="77777777" w:rsidR="00191809" w:rsidRPr="00260BE2" w:rsidRDefault="00191809" w:rsidP="000C4A7A">
      <w:pPr>
        <w:numPr>
          <w:ilvl w:val="0"/>
          <w:numId w:val="1"/>
        </w:numPr>
        <w:shd w:val="clear" w:color="auto" w:fill="D0CECE" w:themeFill="background2" w:themeFillShade="E6"/>
        <w:suppressAutoHyphens w:val="0"/>
        <w:autoSpaceDN/>
        <w:ind w:left="641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  <w:t>DEFINIÇÃO DO OBJETO</w:t>
      </w:r>
    </w:p>
    <w:p w14:paraId="514A2CE3" w14:textId="77777777" w:rsidR="00191809" w:rsidRPr="00260BE2" w:rsidRDefault="00191809" w:rsidP="00191809">
      <w:pPr>
        <w:pStyle w:val="Standard"/>
        <w:jc w:val="both"/>
        <w:rPr>
          <w:rFonts w:ascii="Arial" w:hAnsi="Arial"/>
          <w:sz w:val="22"/>
          <w:szCs w:val="22"/>
        </w:rPr>
      </w:pPr>
    </w:p>
    <w:p w14:paraId="5CAE7E3C" w14:textId="1CAF29A0" w:rsidR="00191809" w:rsidRPr="00260BE2" w:rsidRDefault="005D1AAB" w:rsidP="00191809">
      <w:pPr>
        <w:pStyle w:val="Standard"/>
        <w:ind w:left="284" w:firstLine="850"/>
        <w:jc w:val="both"/>
        <w:rPr>
          <w:rFonts w:ascii="Arial" w:hAnsi="Arial"/>
          <w:sz w:val="22"/>
          <w:szCs w:val="22"/>
        </w:rPr>
      </w:pPr>
      <w:r w:rsidRPr="005D1AAB">
        <w:rPr>
          <w:rFonts w:ascii="Arial" w:eastAsia="Times New Roman" w:hAnsi="Arial"/>
          <w:b/>
          <w:bCs/>
          <w:kern w:val="0"/>
          <w:sz w:val="22"/>
          <w:szCs w:val="22"/>
          <w:lang w:eastAsia="pt-BR" w:bidi="ar-SA"/>
        </w:rPr>
        <w:t>Seleção de empresa especializada em engenharia para execução da obra de construção de ponte em aduelas pré-moldadas de concreto armado sobre o Córrego Burim, localizada na Estrada Sarandi, no Distrito de Nova Santa Helena, Município de Iporã-PR, conforme especificações técnicas constantes no Projeto Executivo, Memorial Descritivo e Plano de Trabalho vinculados ao Convênio nº 027/2025 – SEIL</w:t>
      </w:r>
      <w:r w:rsidR="00284764" w:rsidRPr="00260BE2">
        <w:rPr>
          <w:rFonts w:ascii="Arial" w:eastAsia="Times New Roman" w:hAnsi="Arial"/>
          <w:b/>
          <w:bCs/>
          <w:kern w:val="0"/>
          <w:sz w:val="22"/>
          <w:szCs w:val="22"/>
          <w:lang w:eastAsia="pt-BR" w:bidi="ar-SA"/>
        </w:rPr>
        <w:t>.</w:t>
      </w:r>
    </w:p>
    <w:p w14:paraId="2D2DA43B" w14:textId="77777777" w:rsidR="00191809" w:rsidRPr="00260BE2" w:rsidRDefault="00191809" w:rsidP="00191809">
      <w:pPr>
        <w:pStyle w:val="Standard"/>
        <w:jc w:val="both"/>
        <w:rPr>
          <w:rFonts w:ascii="Arial" w:hAnsi="Arial"/>
          <w:sz w:val="22"/>
          <w:szCs w:val="22"/>
        </w:rPr>
      </w:pPr>
    </w:p>
    <w:p w14:paraId="4B023C81" w14:textId="77777777" w:rsidR="00191809" w:rsidRPr="00260BE2" w:rsidRDefault="00191809" w:rsidP="000C4A7A">
      <w:pPr>
        <w:numPr>
          <w:ilvl w:val="0"/>
          <w:numId w:val="1"/>
        </w:numPr>
        <w:shd w:val="clear" w:color="auto" w:fill="D0CECE" w:themeFill="background2" w:themeFillShade="E6"/>
        <w:suppressAutoHyphens w:val="0"/>
        <w:autoSpaceDN/>
        <w:ind w:left="284" w:firstLine="0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  <w:t>ESPECIFICAÇÃO DOS ITENS</w:t>
      </w:r>
    </w:p>
    <w:p w14:paraId="700A0FE4" w14:textId="3974168B" w:rsidR="00E6614E" w:rsidRPr="00260BE2" w:rsidRDefault="00E6614E" w:rsidP="00191809">
      <w:pPr>
        <w:pStyle w:val="Standard"/>
        <w:jc w:val="both"/>
        <w:rPr>
          <w:rFonts w:ascii="Arial" w:hAnsi="Arial"/>
          <w:color w:val="FF0000"/>
          <w:sz w:val="22"/>
          <w:szCs w:val="22"/>
        </w:rPr>
      </w:pPr>
    </w:p>
    <w:tbl>
      <w:tblPr>
        <w:tblStyle w:val="Tabelacomgrade"/>
        <w:tblW w:w="10201" w:type="dxa"/>
        <w:jc w:val="center"/>
        <w:tblLook w:val="04A0" w:firstRow="1" w:lastRow="0" w:firstColumn="1" w:lastColumn="0" w:noHBand="0" w:noVBand="1"/>
      </w:tblPr>
      <w:tblGrid>
        <w:gridCol w:w="695"/>
        <w:gridCol w:w="4696"/>
        <w:gridCol w:w="1072"/>
        <w:gridCol w:w="931"/>
        <w:gridCol w:w="1327"/>
        <w:gridCol w:w="1480"/>
      </w:tblGrid>
      <w:tr w:rsidR="00092A70" w:rsidRPr="00260BE2" w14:paraId="23A14FFF" w14:textId="75DA9FDE" w:rsidTr="005D1AAB">
        <w:trPr>
          <w:jc w:val="center"/>
        </w:trPr>
        <w:tc>
          <w:tcPr>
            <w:tcW w:w="695" w:type="dxa"/>
            <w:shd w:val="clear" w:color="auto" w:fill="E7E6E6" w:themeFill="background2"/>
            <w:vAlign w:val="center"/>
          </w:tcPr>
          <w:p w14:paraId="26A0F290" w14:textId="77777777" w:rsidR="00092A70" w:rsidRPr="00260BE2" w:rsidRDefault="00092A70" w:rsidP="003A3F21">
            <w:pPr>
              <w:jc w:val="center"/>
              <w:rPr>
                <w:rFonts w:ascii="Arial" w:eastAsia="Calibri" w:hAnsi="Arial"/>
                <w:b/>
                <w:iCs/>
                <w:sz w:val="20"/>
                <w:szCs w:val="20"/>
              </w:rPr>
            </w:pPr>
            <w:r w:rsidRPr="00260BE2">
              <w:rPr>
                <w:rFonts w:ascii="Arial" w:eastAsia="Calibri" w:hAnsi="Arial"/>
                <w:b/>
                <w:iCs/>
                <w:sz w:val="20"/>
                <w:szCs w:val="20"/>
              </w:rPr>
              <w:t>ITEM</w:t>
            </w:r>
          </w:p>
        </w:tc>
        <w:tc>
          <w:tcPr>
            <w:tcW w:w="4696" w:type="dxa"/>
            <w:shd w:val="clear" w:color="auto" w:fill="E7E6E6" w:themeFill="background2"/>
            <w:vAlign w:val="center"/>
          </w:tcPr>
          <w:p w14:paraId="07865396" w14:textId="77777777" w:rsidR="00092A70" w:rsidRPr="00260BE2" w:rsidRDefault="00092A70" w:rsidP="003A3F21">
            <w:pPr>
              <w:jc w:val="center"/>
              <w:rPr>
                <w:rFonts w:ascii="Arial" w:eastAsia="Calibri" w:hAnsi="Arial"/>
                <w:b/>
                <w:iCs/>
                <w:sz w:val="20"/>
                <w:szCs w:val="20"/>
              </w:rPr>
            </w:pPr>
            <w:r w:rsidRPr="00260BE2">
              <w:rPr>
                <w:rFonts w:ascii="Arial" w:eastAsia="Calibri" w:hAnsi="Arial"/>
                <w:b/>
                <w:iCs/>
                <w:sz w:val="20"/>
                <w:szCs w:val="20"/>
              </w:rPr>
              <w:t>DESCRIÇÃO</w:t>
            </w:r>
          </w:p>
        </w:tc>
        <w:tc>
          <w:tcPr>
            <w:tcW w:w="1072" w:type="dxa"/>
            <w:shd w:val="clear" w:color="auto" w:fill="E7E6E6" w:themeFill="background2"/>
            <w:vAlign w:val="center"/>
          </w:tcPr>
          <w:p w14:paraId="474149BB" w14:textId="77777777" w:rsidR="00092A70" w:rsidRPr="00260BE2" w:rsidRDefault="00092A70" w:rsidP="003A3F21">
            <w:pPr>
              <w:jc w:val="center"/>
              <w:rPr>
                <w:rFonts w:ascii="Arial" w:eastAsia="Calibri" w:hAnsi="Arial"/>
                <w:b/>
                <w:iCs/>
                <w:sz w:val="20"/>
                <w:szCs w:val="20"/>
              </w:rPr>
            </w:pPr>
            <w:r w:rsidRPr="00260BE2">
              <w:rPr>
                <w:rFonts w:ascii="Arial" w:eastAsia="Calibri" w:hAnsi="Arial"/>
                <w:b/>
                <w:iCs/>
                <w:sz w:val="20"/>
                <w:szCs w:val="20"/>
              </w:rPr>
              <w:t>UND.</w:t>
            </w:r>
          </w:p>
        </w:tc>
        <w:tc>
          <w:tcPr>
            <w:tcW w:w="931" w:type="dxa"/>
            <w:shd w:val="clear" w:color="auto" w:fill="E7E6E6" w:themeFill="background2"/>
            <w:vAlign w:val="center"/>
          </w:tcPr>
          <w:p w14:paraId="2EB6532A" w14:textId="77777777" w:rsidR="00092A70" w:rsidRPr="00260BE2" w:rsidRDefault="00092A70" w:rsidP="003A3F21">
            <w:pPr>
              <w:jc w:val="center"/>
              <w:rPr>
                <w:rFonts w:ascii="Arial" w:eastAsia="Calibri" w:hAnsi="Arial"/>
                <w:b/>
                <w:iCs/>
                <w:sz w:val="20"/>
                <w:szCs w:val="20"/>
              </w:rPr>
            </w:pPr>
            <w:r w:rsidRPr="00260BE2">
              <w:rPr>
                <w:rFonts w:ascii="Arial" w:eastAsia="Calibri" w:hAnsi="Arial"/>
                <w:b/>
                <w:iCs/>
                <w:sz w:val="20"/>
                <w:szCs w:val="20"/>
              </w:rPr>
              <w:t>QDE.</w:t>
            </w:r>
          </w:p>
        </w:tc>
        <w:tc>
          <w:tcPr>
            <w:tcW w:w="1327" w:type="dxa"/>
            <w:shd w:val="clear" w:color="auto" w:fill="E7E6E6" w:themeFill="background2"/>
            <w:vAlign w:val="center"/>
          </w:tcPr>
          <w:p w14:paraId="5423D678" w14:textId="7801B447" w:rsidR="00092A70" w:rsidRPr="00260BE2" w:rsidRDefault="00092A70" w:rsidP="003A3F21">
            <w:pPr>
              <w:jc w:val="center"/>
              <w:rPr>
                <w:rFonts w:ascii="Arial" w:eastAsia="Calibri" w:hAnsi="Arial"/>
                <w:b/>
                <w:iCs/>
                <w:sz w:val="20"/>
                <w:szCs w:val="20"/>
              </w:rPr>
            </w:pPr>
            <w:r w:rsidRPr="00260BE2">
              <w:rPr>
                <w:rFonts w:ascii="Arial" w:eastAsia="Calibri" w:hAnsi="Arial"/>
                <w:b/>
                <w:iCs/>
                <w:sz w:val="20"/>
                <w:szCs w:val="20"/>
              </w:rPr>
              <w:t>V</w:t>
            </w:r>
            <w:r w:rsidR="002B70F8" w:rsidRPr="00260BE2">
              <w:rPr>
                <w:rFonts w:ascii="Arial" w:eastAsia="Calibri" w:hAnsi="Arial"/>
                <w:b/>
                <w:iCs/>
                <w:sz w:val="20"/>
                <w:szCs w:val="20"/>
              </w:rPr>
              <w:t>ALOR UNT.</w:t>
            </w:r>
            <w:r w:rsidR="001418AF">
              <w:rPr>
                <w:rFonts w:ascii="Arial" w:eastAsia="Calibri" w:hAnsi="Arial"/>
                <w:b/>
                <w:iCs/>
                <w:sz w:val="20"/>
                <w:szCs w:val="20"/>
              </w:rPr>
              <w:t xml:space="preserve"> (R$)</w:t>
            </w:r>
          </w:p>
        </w:tc>
        <w:tc>
          <w:tcPr>
            <w:tcW w:w="1480" w:type="dxa"/>
            <w:shd w:val="clear" w:color="auto" w:fill="E7E6E6" w:themeFill="background2"/>
            <w:vAlign w:val="center"/>
          </w:tcPr>
          <w:p w14:paraId="5F33FC63" w14:textId="58BD7BB0" w:rsidR="00092A70" w:rsidRPr="00260BE2" w:rsidRDefault="002B70F8" w:rsidP="003A3F21">
            <w:pPr>
              <w:jc w:val="center"/>
              <w:rPr>
                <w:rFonts w:ascii="Arial" w:eastAsia="Calibri" w:hAnsi="Arial"/>
                <w:b/>
                <w:iCs/>
                <w:sz w:val="20"/>
                <w:szCs w:val="20"/>
              </w:rPr>
            </w:pPr>
            <w:r w:rsidRPr="00260BE2">
              <w:rPr>
                <w:rFonts w:ascii="Arial" w:eastAsia="Calibri" w:hAnsi="Arial"/>
                <w:b/>
                <w:iCs/>
                <w:sz w:val="20"/>
                <w:szCs w:val="20"/>
              </w:rPr>
              <w:t>VALOR TOTAL</w:t>
            </w:r>
            <w:r w:rsidR="001418AF">
              <w:rPr>
                <w:rFonts w:ascii="Arial" w:eastAsia="Calibri" w:hAnsi="Arial"/>
                <w:b/>
                <w:iCs/>
                <w:sz w:val="20"/>
                <w:szCs w:val="20"/>
              </w:rPr>
              <w:t xml:space="preserve"> (R$)</w:t>
            </w:r>
          </w:p>
        </w:tc>
      </w:tr>
      <w:tr w:rsidR="005D1AAB" w:rsidRPr="00CE68F9" w14:paraId="029BC52E" w14:textId="6CF2979D" w:rsidTr="005D1AAB">
        <w:trPr>
          <w:jc w:val="center"/>
        </w:trPr>
        <w:tc>
          <w:tcPr>
            <w:tcW w:w="695" w:type="dxa"/>
            <w:vAlign w:val="center"/>
          </w:tcPr>
          <w:p w14:paraId="7E86A607" w14:textId="3D5AE98A" w:rsidR="005D1AAB" w:rsidRPr="002D2B9F" w:rsidRDefault="005D1AAB" w:rsidP="005D1AAB">
            <w:pPr>
              <w:jc w:val="center"/>
              <w:rPr>
                <w:rFonts w:ascii="Arial" w:eastAsia="Calibri" w:hAnsi="Arial"/>
                <w:bCs/>
                <w:iCs/>
                <w:sz w:val="20"/>
                <w:szCs w:val="20"/>
              </w:rPr>
            </w:pPr>
            <w:r w:rsidRPr="002D2B9F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4696" w:type="dxa"/>
            <w:vAlign w:val="center"/>
          </w:tcPr>
          <w:p w14:paraId="0E9C43D2" w14:textId="631E62F9" w:rsidR="005D1AAB" w:rsidRPr="002D2B9F" w:rsidRDefault="005D1AAB" w:rsidP="005D1AAB">
            <w:pPr>
              <w:pStyle w:val="PargrafodaLista"/>
              <w:ind w:left="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C71D93">
              <w:rPr>
                <w:rFonts w:ascii="Arial" w:eastAsia="Calibri" w:hAnsi="Arial" w:cs="Arial"/>
                <w:sz w:val="20"/>
                <w:szCs w:val="20"/>
              </w:rPr>
              <w:t>Execução de obra de arte corrente consistente na construção de ponte em aduelas pré-moldadas de concreto armado, com 7,00 metros de extensão e 6,00 metros de largura, incluindo berço de concreto, assentamento das aduelas, execução de alas laterais, capa de concreto armado, guarda-rodas e demais serviços complementares, conforme Projeto Executivo e Memorial Descritivo vinculados ao Convênio nº 027/2025 – SEIL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072" w:type="dxa"/>
            <w:vAlign w:val="center"/>
          </w:tcPr>
          <w:p w14:paraId="1BE28AB6" w14:textId="52C18FBB" w:rsidR="005D1AAB" w:rsidRPr="002D2B9F" w:rsidRDefault="005D1AAB" w:rsidP="005D1AAB">
            <w:pPr>
              <w:jc w:val="center"/>
              <w:rPr>
                <w:rFonts w:ascii="Arial" w:eastAsia="Calibri" w:hAnsi="Arial"/>
                <w:bCs/>
                <w:iCs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Und</w:t>
            </w:r>
          </w:p>
        </w:tc>
        <w:tc>
          <w:tcPr>
            <w:tcW w:w="931" w:type="dxa"/>
            <w:vAlign w:val="center"/>
          </w:tcPr>
          <w:p w14:paraId="5CF01D2A" w14:textId="1CBADB51" w:rsidR="005D1AAB" w:rsidRPr="002D2B9F" w:rsidRDefault="005D1AAB" w:rsidP="005D1AAB">
            <w:pPr>
              <w:jc w:val="center"/>
              <w:rPr>
                <w:rFonts w:ascii="Arial" w:eastAsia="Calibri" w:hAnsi="Arial"/>
                <w:bCs/>
                <w:iCs/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1</w:t>
            </w:r>
          </w:p>
        </w:tc>
        <w:tc>
          <w:tcPr>
            <w:tcW w:w="1327" w:type="dxa"/>
            <w:vAlign w:val="center"/>
          </w:tcPr>
          <w:p w14:paraId="584B8338" w14:textId="73B04325" w:rsidR="005D1AAB" w:rsidRPr="002D2B9F" w:rsidRDefault="005D1AAB" w:rsidP="005D1AAB">
            <w:pPr>
              <w:jc w:val="center"/>
              <w:rPr>
                <w:rFonts w:ascii="Arial" w:eastAsiaTheme="minorHAnsi" w:hAnsi="Arial"/>
                <w:color w:val="000000"/>
                <w:sz w:val="20"/>
                <w:szCs w:val="20"/>
                <w:lang w:eastAsia="en-US"/>
              </w:rPr>
            </w:pPr>
            <w:r w:rsidRPr="005D1AAB">
              <w:rPr>
                <w:rFonts w:ascii="Arial" w:eastAsia="Times New Roman" w:hAnsi="Arial"/>
                <w:sz w:val="20"/>
                <w:szCs w:val="20"/>
              </w:rPr>
              <w:t>345.426,57</w:t>
            </w:r>
          </w:p>
        </w:tc>
        <w:tc>
          <w:tcPr>
            <w:tcW w:w="1480" w:type="dxa"/>
            <w:vAlign w:val="center"/>
          </w:tcPr>
          <w:p w14:paraId="31AF56A0" w14:textId="7B05C8B3" w:rsidR="005D1AAB" w:rsidRPr="002D2B9F" w:rsidRDefault="005D1AAB" w:rsidP="005D1AAB">
            <w:pPr>
              <w:jc w:val="center"/>
              <w:rPr>
                <w:rFonts w:ascii="Arial" w:eastAsiaTheme="minorHAnsi" w:hAnsi="Arial"/>
                <w:color w:val="000000"/>
                <w:sz w:val="20"/>
                <w:szCs w:val="20"/>
                <w:lang w:eastAsia="en-US"/>
              </w:rPr>
            </w:pPr>
            <w:r w:rsidRPr="005D1AAB">
              <w:rPr>
                <w:rFonts w:ascii="Arial" w:eastAsia="Times New Roman" w:hAnsi="Arial"/>
                <w:sz w:val="20"/>
                <w:szCs w:val="20"/>
              </w:rPr>
              <w:t>345.426,57</w:t>
            </w:r>
          </w:p>
        </w:tc>
      </w:tr>
    </w:tbl>
    <w:p w14:paraId="6B3AFC9B" w14:textId="77777777" w:rsidR="00191809" w:rsidRPr="00260BE2" w:rsidRDefault="00191809" w:rsidP="00191809">
      <w:pPr>
        <w:pStyle w:val="Nivel01"/>
        <w:spacing w:before="0"/>
        <w:jc w:val="center"/>
        <w:rPr>
          <w:rFonts w:cs="Arial"/>
        </w:rPr>
      </w:pPr>
      <w:r w:rsidRPr="00260BE2">
        <w:rPr>
          <w:rFonts w:cs="Arial"/>
        </w:rPr>
        <w:t>O objeto desta contratação não se enquadra como sendo de bem de luxo</w:t>
      </w:r>
    </w:p>
    <w:p w14:paraId="50F9AAF0" w14:textId="77777777" w:rsidR="00191809" w:rsidRPr="00260BE2" w:rsidRDefault="00191809" w:rsidP="00191809">
      <w:pPr>
        <w:ind w:left="152" w:right="281" w:firstLine="284"/>
        <w:jc w:val="center"/>
        <w:rPr>
          <w:rFonts w:ascii="Arial" w:hAnsi="Arial"/>
          <w:sz w:val="22"/>
          <w:szCs w:val="22"/>
        </w:rPr>
      </w:pPr>
      <w:r w:rsidRPr="00260BE2">
        <w:rPr>
          <w:rFonts w:ascii="Arial" w:hAnsi="Arial"/>
          <w:sz w:val="22"/>
          <w:szCs w:val="22"/>
        </w:rPr>
        <w:t>Os bens objeto desta contratação são caracterizados como comuns</w:t>
      </w:r>
    </w:p>
    <w:p w14:paraId="151F90EE" w14:textId="77777777" w:rsidR="00191809" w:rsidRPr="00260BE2" w:rsidRDefault="00191809" w:rsidP="00191809">
      <w:pPr>
        <w:pStyle w:val="Standard"/>
        <w:jc w:val="both"/>
        <w:rPr>
          <w:rFonts w:ascii="Arial" w:hAnsi="Arial"/>
          <w:color w:val="FF0000"/>
          <w:sz w:val="22"/>
          <w:szCs w:val="22"/>
        </w:rPr>
      </w:pPr>
    </w:p>
    <w:p w14:paraId="7707C8D5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hAnsi="Arial"/>
          <w:b/>
          <w:sz w:val="22"/>
          <w:szCs w:val="22"/>
        </w:rPr>
        <w:t>DA FUNDAMENTAÇÃO E DESCRIÇÃO DA NECESSIDADE</w:t>
      </w:r>
    </w:p>
    <w:p w14:paraId="716E6BB2" w14:textId="1694140A" w:rsidR="00865FA2" w:rsidRPr="00865FA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hAnsi="Arial"/>
          <w:sz w:val="22"/>
          <w:szCs w:val="22"/>
          <w:shd w:val="clear" w:color="auto" w:fill="FFFFFF"/>
        </w:rPr>
      </w:pPr>
      <w:r w:rsidRPr="00865FA2">
        <w:rPr>
          <w:rFonts w:ascii="Arial" w:hAnsi="Arial"/>
          <w:sz w:val="22"/>
          <w:szCs w:val="22"/>
          <w:shd w:val="clear" w:color="auto" w:fill="FFFFFF"/>
        </w:rPr>
        <w:t>A presente contratação fundamenta-se na necessidade de execução da obra de reconstrução da Ponte Burim, localizada sobre o Córrego Burim, em via rural do Município de Iporã-PR, cuja estrutura anteriormente existente, construída em madeira, encontra-se deteriorada e estruturalmente comprometida, não atendendo às condições mínimas de segurança, estabilidade e capacidade de carga exigidas para o tráfego atual. A precariedade da travessia tem ocasionado riscos à integridade dos usuários da via, limitações operacionais para o trânsito de veículos pesados e potencial interrupção do fluxo viário, especialmente em períodos de maior intensidade pluviométrica, quando a elevação do nível do corpo hídrico agrava a vulnerabilidade estrutural da ponte.</w:t>
      </w:r>
    </w:p>
    <w:p w14:paraId="45CDB599" w14:textId="77777777" w:rsidR="00865FA2" w:rsidRPr="00865FA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hAnsi="Arial"/>
          <w:sz w:val="22"/>
          <w:szCs w:val="22"/>
          <w:shd w:val="clear" w:color="auto" w:fill="FFFFFF"/>
        </w:rPr>
      </w:pPr>
      <w:r w:rsidRPr="00865FA2">
        <w:rPr>
          <w:rFonts w:ascii="Arial" w:hAnsi="Arial"/>
          <w:sz w:val="22"/>
          <w:szCs w:val="22"/>
          <w:shd w:val="clear" w:color="auto" w:fill="FFFFFF"/>
        </w:rPr>
        <w:lastRenderedPageBreak/>
        <w:t>A via atendida pela Ponte Burim possui relevante função socioeconômica, sendo utilizada para o deslocamento diário de moradores, transporte escolar, circulação de ambulâncias e tráfego de maquinários agrícolas e caminhões destinados ao escoamento da produção rural. A ausência de infraestrutura adequada compromete o desenvolvimento econômico local, dificulta a prestação de serviços públicos essenciais e impõe riscos à coletividade. Assim, a intervenção não se caracteriza como mera melhoria, mas como medida indispensável para assegurar a continuidade da mobilidade rural e a proteção do interesse público.</w:t>
      </w:r>
    </w:p>
    <w:p w14:paraId="016DEA85" w14:textId="2D60F1D1" w:rsidR="00865FA2" w:rsidRPr="00865FA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hAnsi="Arial"/>
          <w:sz w:val="22"/>
          <w:szCs w:val="22"/>
          <w:shd w:val="clear" w:color="auto" w:fill="FFFFFF"/>
        </w:rPr>
      </w:pPr>
      <w:r w:rsidRPr="00865FA2">
        <w:rPr>
          <w:rFonts w:ascii="Arial" w:hAnsi="Arial"/>
          <w:sz w:val="22"/>
          <w:szCs w:val="22"/>
          <w:shd w:val="clear" w:color="auto" w:fill="FFFFFF"/>
        </w:rPr>
        <w:t>A solução técnica adotada, conforme Projeto Executivo e Memorial Descritivo vinculados ao Convênio nº 027/2025 – SEIL, consiste na execução de obra de arte corrente em aduelas pré-moldadas de concreto armado, com berço estrutural ancorado, alas laterais, capa de concreto armado e guarda-rodas, observando-se critérios técnicos compatíveis com as condições geotécnicas e hidrológicas do local. A escolha da solução baseou-se em estudos técnicos prévios que contemplaram levantamento topográfico, análise do greide e avaliação da ocorrência histórica de chuvas, garantindo dimensionamento adequado, estabilidade estrutural e durabilidade da intervenção.</w:t>
      </w:r>
    </w:p>
    <w:p w14:paraId="2784C53C" w14:textId="3032F154" w:rsidR="00865FA2" w:rsidRPr="00865FA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hAnsi="Arial"/>
          <w:sz w:val="22"/>
          <w:szCs w:val="22"/>
          <w:shd w:val="clear" w:color="auto" w:fill="FFFFFF"/>
        </w:rPr>
      </w:pPr>
      <w:r w:rsidRPr="00865FA2">
        <w:rPr>
          <w:rFonts w:ascii="Arial" w:hAnsi="Arial"/>
          <w:sz w:val="22"/>
          <w:szCs w:val="22"/>
          <w:shd w:val="clear" w:color="auto" w:fill="FFFFFF"/>
        </w:rPr>
        <w:t>Sob o aspecto jurídico-administrativo, a contratação encontra amparo na Lei nº 14.133/2021, especialmente nos princípios do planejamento, eficiência, economicidade e supremacia do interesse público. O objeto foi devidamente caracterizado no Estudo Técnico Preliminar, com definição clara de escopo, orçamento detalhado, cronograma físico-financeiro e requisitos técnicos de habilitação, possibilitando a realização de procedimento licitatório na modalidade concorrência para seleção da proposta mais vantajosa. A estimativa de preços foi elaborada com base em sistema oficial de custos do DER/PR, assegurando parâmetro referencial adequado para análise de exequibilidade das propostas.</w:t>
      </w:r>
    </w:p>
    <w:p w14:paraId="00B09370" w14:textId="1D3909A0" w:rsidR="00191809" w:rsidRPr="00CE68F9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hAnsi="Arial"/>
          <w:sz w:val="22"/>
          <w:szCs w:val="22"/>
          <w:shd w:val="clear" w:color="auto" w:fill="FFFFFF"/>
        </w:rPr>
      </w:pPr>
      <w:r w:rsidRPr="00865FA2">
        <w:rPr>
          <w:rFonts w:ascii="Arial" w:hAnsi="Arial"/>
          <w:sz w:val="22"/>
          <w:szCs w:val="22"/>
          <w:shd w:val="clear" w:color="auto" w:fill="FFFFFF"/>
        </w:rPr>
        <w:t>Dessa forma, a fundamentação da contratação decorre da necessidade concreta e atual de substituição da estrutura precária por solução definitiva, segura e tecnicamente adequada, apta a restabelecer as condições de trafegabilidade na região rural atendida. A execução da nova Ponte Burim representa investimento estruturante, com impacto positivo de longo prazo para o Município de Iporã-PR, promovendo segurança viária, desenvolvimento socioeconômico e adequada aplicação dos recursos públicos vinculados ao convênio estadual.</w:t>
      </w:r>
    </w:p>
    <w:p w14:paraId="668A41A7" w14:textId="77777777" w:rsidR="00191809" w:rsidRPr="00260BE2" w:rsidRDefault="00191809" w:rsidP="00191809">
      <w:pPr>
        <w:shd w:val="clear" w:color="auto" w:fill="FFFFFF"/>
        <w:suppressAutoHyphens w:val="0"/>
        <w:autoSpaceDN/>
        <w:ind w:left="1046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</w:p>
    <w:p w14:paraId="61059076" w14:textId="77777777" w:rsidR="00191809" w:rsidRPr="00260BE2" w:rsidRDefault="00191809" w:rsidP="00B67B1D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hAnsi="Arial"/>
          <w:b/>
          <w:sz w:val="22"/>
          <w:szCs w:val="22"/>
        </w:rPr>
        <w:t xml:space="preserve">DESCRIÇÃO DA SOLUÇÃO </w:t>
      </w:r>
    </w:p>
    <w:p w14:paraId="0358B153" w14:textId="77777777" w:rsidR="00865FA2" w:rsidRPr="00865FA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  <w:r w:rsidRPr="00865FA2">
        <w:rPr>
          <w:rFonts w:ascii="Arial" w:eastAsia="Times New Roman" w:hAnsi="Arial"/>
          <w:kern w:val="0"/>
          <w:sz w:val="22"/>
          <w:szCs w:val="22"/>
          <w:lang w:eastAsia="pt-BR" w:bidi="ar-SA"/>
        </w:rPr>
        <w:t>A solução objeto do presente Termo de Referência consiste na execução integral da obra de arte corrente denominada **Ponte Burim**, destinada à transposição do Córrego Burim em via rural do Município de Iporã-PR, mediante implantação de estrutura em aduelas pré-moldadas de concreto armado, conforme Projeto Executivo, Memorial Descritivo e Orçamento Sintético nº 7846-2/2025, aprovado pelo DER/PR, com data-base de 31/03/2025 . A intervenção visa substituir estrutura anteriormente existente, em madeira, atualmente deteriorada e tecnicamente inadequada, por solução estrutural definitiva, segura e compatível com as condições hidrológicas e geotécnicas do local.</w:t>
      </w:r>
    </w:p>
    <w:p w14:paraId="586126D1" w14:textId="28684414" w:rsidR="00865FA2" w:rsidRPr="00865FA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  <w:r w:rsidRPr="00865FA2">
        <w:rPr>
          <w:rFonts w:ascii="Arial" w:eastAsia="Times New Roman" w:hAnsi="Arial"/>
          <w:kern w:val="0"/>
          <w:sz w:val="22"/>
          <w:szCs w:val="22"/>
          <w:lang w:eastAsia="pt-BR" w:bidi="ar-SA"/>
        </w:rPr>
        <w:t>A solução compreende, inicialmente, a execução de serviços preliminares, incluindo mobilização e desmobilização de equipamentos, implantação de canteiro de obras e instalação de sinalização provisória, garantindo segurança aos usuários da via durante o período de execução. Na sequência, serão executados serviços de terraplenagem, regularização e preparação do terreno, bem como demolição de elementos remanescentes da estrutura antiga, conforme previsto no orçamento referencial.</w:t>
      </w:r>
    </w:p>
    <w:p w14:paraId="7F1DAF2F" w14:textId="74923781" w:rsidR="00865FA2" w:rsidRPr="00865FA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  <w:r w:rsidRPr="00865FA2">
        <w:rPr>
          <w:rFonts w:ascii="Arial" w:eastAsia="Times New Roman" w:hAnsi="Arial"/>
          <w:kern w:val="0"/>
          <w:sz w:val="22"/>
          <w:szCs w:val="22"/>
          <w:lang w:eastAsia="pt-BR" w:bidi="ar-SA"/>
        </w:rPr>
        <w:t>No âmbito estrutural, a solução contempla a execução de berço/lastro em concreto armado ancorado ao leito, dimensionado para garantir estabilidade e correta distribuição de cargas, seguido do fornecimento e instalação de galeria celular pré-moldada de concreto do tipo BSCC 3,00 x 3,00 metros, inclusive rejuntamento e fixações estruturais, conforme especificações técnicas do DER/PR. Serão executadas alas laterais pré-moldadas, sistema de ancoragem com barras e cabos de aço galvanizado, proteção mecânica dos cabos e demais dispositivos necessários à estabilidade do conjunto estrutural.</w:t>
      </w:r>
    </w:p>
    <w:p w14:paraId="32EAADE8" w14:textId="116F440C" w:rsidR="00865FA2" w:rsidRPr="00865FA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  <w:r w:rsidRPr="00865FA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Sobre a galeria será executada capa estrutural em concreto armado com resistência característica compatível com o projeto (Fck = 30 MPa), incluindo bombeamento, armaduras, formas, conectores e guarda-rodas laterais em concreto armado, garantindo interligação </w:t>
      </w:r>
      <w:r w:rsidRPr="00865FA2">
        <w:rPr>
          <w:rFonts w:ascii="Arial" w:eastAsia="Times New Roman" w:hAnsi="Arial"/>
          <w:kern w:val="0"/>
          <w:sz w:val="22"/>
          <w:szCs w:val="22"/>
          <w:lang w:eastAsia="pt-BR" w:bidi="ar-SA"/>
        </w:rPr>
        <w:lastRenderedPageBreak/>
        <w:t>monolítica dos elementos e adequada capacidade de suporte para o tráfego rural previsto. Todos os materiais empregados deverão atender às normas técnicas brasileiras aplicáveis e às especificações constantes no projeto, sendo submetidos a controle tecnológico e fiscalização técnica permanente.</w:t>
      </w:r>
    </w:p>
    <w:p w14:paraId="4E428A31" w14:textId="29753B43" w:rsidR="00E6614E" w:rsidRPr="00260BE2" w:rsidRDefault="00865FA2" w:rsidP="00865FA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hAnsi="Arial"/>
          <w:sz w:val="22"/>
          <w:szCs w:val="22"/>
          <w:shd w:val="clear" w:color="auto" w:fill="FFFFFF"/>
        </w:rPr>
      </w:pPr>
      <w:r w:rsidRPr="00865FA2">
        <w:rPr>
          <w:rFonts w:ascii="Arial" w:eastAsia="Times New Roman" w:hAnsi="Arial"/>
          <w:kern w:val="0"/>
          <w:sz w:val="22"/>
          <w:szCs w:val="22"/>
          <w:lang w:eastAsia="pt-BR" w:bidi="ar-SA"/>
        </w:rPr>
        <w:t>A solução contempla ainda a execução de sinalização definitiva, placa de obra, limpeza final da área e entrega formal da estrutura concluída, observando-se os procedimentos de recebimento provisório e definitivo previstos na Lei nº 14.133/2021. De forma integrada, a solução proposta assegura a implantação de infraestrutura durável, segura e funcional, com adequada capacidade estrutural, reduzida necessidade de manutenção futura e atendimento pleno às demandas de mobilidade rural do Município de Iporã-PR, garantindo aplicação eficiente e responsável dos recursos públicos vinculados ao Convênio nº 027/2025 – SEIL</w:t>
      </w:r>
      <w:r w:rsidR="002D2B9F" w:rsidRPr="002D2B9F">
        <w:rPr>
          <w:rFonts w:ascii="Arial" w:eastAsia="Times New Roman" w:hAnsi="Arial"/>
          <w:kern w:val="0"/>
          <w:sz w:val="22"/>
          <w:szCs w:val="22"/>
          <w:lang w:eastAsia="pt-BR" w:bidi="ar-SA"/>
        </w:rPr>
        <w:t>.</w:t>
      </w:r>
    </w:p>
    <w:p w14:paraId="08657E09" w14:textId="77777777" w:rsidR="00191809" w:rsidRPr="00260BE2" w:rsidRDefault="00191809" w:rsidP="00191809">
      <w:pPr>
        <w:shd w:val="clear" w:color="auto" w:fill="FFFFFF"/>
        <w:suppressAutoHyphens w:val="0"/>
        <w:autoSpaceDN/>
        <w:ind w:left="284" w:firstLine="709"/>
        <w:jc w:val="both"/>
        <w:textAlignment w:val="auto"/>
        <w:rPr>
          <w:rFonts w:ascii="Arial" w:hAnsi="Arial"/>
          <w:sz w:val="22"/>
          <w:szCs w:val="22"/>
        </w:rPr>
      </w:pPr>
    </w:p>
    <w:p w14:paraId="38A0E16F" w14:textId="77777777" w:rsidR="00191809" w:rsidRPr="00260BE2" w:rsidRDefault="00191809" w:rsidP="000C4A7A">
      <w:pPr>
        <w:numPr>
          <w:ilvl w:val="0"/>
          <w:numId w:val="1"/>
        </w:numPr>
        <w:shd w:val="clear" w:color="auto" w:fill="D0CECE" w:themeFill="background2" w:themeFillShade="E6"/>
        <w:suppressAutoHyphens w:val="0"/>
        <w:autoSpaceDN/>
        <w:ind w:left="641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b/>
          <w:sz w:val="22"/>
          <w:szCs w:val="22"/>
        </w:rPr>
        <w:t>DA ESTIMATIVA DO VALOR</w:t>
      </w:r>
    </w:p>
    <w:p w14:paraId="43D0F913" w14:textId="0C0515E3" w:rsidR="00191809" w:rsidRPr="00260BE2" w:rsidRDefault="00E6614E" w:rsidP="0039345B">
      <w:pPr>
        <w:shd w:val="clear" w:color="auto" w:fill="FFFFFF"/>
        <w:suppressAutoHyphens w:val="0"/>
        <w:autoSpaceDN/>
        <w:ind w:left="641" w:firstLine="493"/>
        <w:jc w:val="both"/>
        <w:textAlignment w:val="auto"/>
        <w:rPr>
          <w:rFonts w:ascii="Arial" w:hAnsi="Arial"/>
          <w:sz w:val="22"/>
          <w:szCs w:val="22"/>
        </w:rPr>
      </w:pPr>
      <w:r w:rsidRPr="00260BE2">
        <w:rPr>
          <w:rFonts w:ascii="Arial" w:hAnsi="Arial"/>
          <w:sz w:val="22"/>
          <w:szCs w:val="22"/>
        </w:rPr>
        <w:t xml:space="preserve">O custo estimado total da contratação é de </w:t>
      </w:r>
      <w:r w:rsidR="00231AB1" w:rsidRPr="00260BE2">
        <w:rPr>
          <w:rFonts w:ascii="Arial" w:hAnsi="Arial"/>
          <w:b/>
          <w:bCs/>
          <w:sz w:val="22"/>
          <w:szCs w:val="22"/>
        </w:rPr>
        <w:t xml:space="preserve">R$ </w:t>
      </w:r>
      <w:r w:rsidR="00865FA2" w:rsidRPr="00865FA2">
        <w:rPr>
          <w:rFonts w:ascii="Arial" w:hAnsi="Arial"/>
          <w:b/>
          <w:bCs/>
          <w:sz w:val="22"/>
          <w:szCs w:val="22"/>
        </w:rPr>
        <w:t>345.426,</w:t>
      </w:r>
      <w:r w:rsidR="00865FA2">
        <w:rPr>
          <w:rFonts w:ascii="Arial" w:hAnsi="Arial"/>
          <w:b/>
          <w:bCs/>
          <w:sz w:val="22"/>
          <w:szCs w:val="22"/>
        </w:rPr>
        <w:t>57</w:t>
      </w:r>
      <w:r w:rsidR="00865FA2" w:rsidRPr="00865FA2">
        <w:t xml:space="preserve"> </w:t>
      </w:r>
      <w:r w:rsidR="00865FA2" w:rsidRPr="00865FA2">
        <w:rPr>
          <w:rFonts w:ascii="Arial" w:hAnsi="Arial"/>
          <w:b/>
          <w:bCs/>
          <w:sz w:val="22"/>
          <w:szCs w:val="22"/>
        </w:rPr>
        <w:t>(trezentos e quarenta e cinco mil, quatrocentos e vinte e seis reais e cinquenta e sete centavos)</w:t>
      </w:r>
      <w:r w:rsidR="00865FA2">
        <w:rPr>
          <w:rFonts w:ascii="Arial" w:hAnsi="Arial"/>
          <w:b/>
          <w:bCs/>
          <w:sz w:val="22"/>
          <w:szCs w:val="22"/>
        </w:rPr>
        <w:t xml:space="preserve">, </w:t>
      </w:r>
      <w:r w:rsidRPr="00260BE2">
        <w:rPr>
          <w:rFonts w:ascii="Arial" w:hAnsi="Arial"/>
          <w:sz w:val="22"/>
          <w:szCs w:val="22"/>
        </w:rPr>
        <w:t xml:space="preserve">conforme custos unitários apresentados </w:t>
      </w:r>
      <w:r w:rsidR="0039345B" w:rsidRPr="00260BE2">
        <w:rPr>
          <w:rFonts w:ascii="Arial" w:hAnsi="Arial"/>
          <w:sz w:val="22"/>
          <w:szCs w:val="22"/>
        </w:rPr>
        <w:t>na pesquisa em anexo.</w:t>
      </w:r>
    </w:p>
    <w:p w14:paraId="67A60251" w14:textId="09FB239F" w:rsidR="00E6614E" w:rsidRPr="00260BE2" w:rsidRDefault="007456B2" w:rsidP="00191809">
      <w:pPr>
        <w:shd w:val="clear" w:color="auto" w:fill="FFFFFF"/>
        <w:suppressAutoHyphens w:val="0"/>
        <w:autoSpaceDN/>
        <w:ind w:left="641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  <w:r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</w:t>
      </w:r>
    </w:p>
    <w:p w14:paraId="42F019F4" w14:textId="77777777" w:rsidR="00191809" w:rsidRPr="00260BE2" w:rsidRDefault="00191809" w:rsidP="000C4A7A">
      <w:pPr>
        <w:numPr>
          <w:ilvl w:val="0"/>
          <w:numId w:val="1"/>
        </w:numPr>
        <w:shd w:val="clear" w:color="auto" w:fill="D0CECE" w:themeFill="background2" w:themeFillShade="E6"/>
        <w:suppressAutoHyphens w:val="0"/>
        <w:autoSpaceDN/>
        <w:ind w:left="641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  <w:t>DA ADEQUAÇÃO ORÇAMENTÁRIA</w:t>
      </w:r>
    </w:p>
    <w:p w14:paraId="0FE14E55" w14:textId="77777777" w:rsidR="000C4A7A" w:rsidRPr="00260BE2" w:rsidRDefault="00191809" w:rsidP="00191809">
      <w:pPr>
        <w:pStyle w:val="Nivel01"/>
        <w:spacing w:before="0"/>
        <w:ind w:left="284" w:firstLine="850"/>
        <w:rPr>
          <w:rFonts w:cs="Arial"/>
          <w:b w:val="0"/>
          <w:bCs w:val="0"/>
        </w:rPr>
      </w:pPr>
      <w:r w:rsidRPr="00260BE2">
        <w:rPr>
          <w:rFonts w:cs="Arial"/>
          <w:b w:val="0"/>
          <w:bCs w:val="0"/>
        </w:rPr>
        <w:t>A dotação orçamentária será repassada em momento oportuno</w:t>
      </w:r>
      <w:r w:rsidR="000C4A7A" w:rsidRPr="00260BE2">
        <w:rPr>
          <w:rFonts w:cs="Arial"/>
          <w:b w:val="0"/>
          <w:bCs w:val="0"/>
        </w:rPr>
        <w:t>.</w:t>
      </w:r>
    </w:p>
    <w:p w14:paraId="4BE0EB2C" w14:textId="5131FE52" w:rsidR="00191809" w:rsidRPr="00260BE2" w:rsidRDefault="00191809" w:rsidP="00191809">
      <w:pPr>
        <w:shd w:val="clear" w:color="auto" w:fill="FFFFFF"/>
        <w:suppressAutoHyphens w:val="0"/>
        <w:autoSpaceDN/>
        <w:ind w:left="641"/>
        <w:jc w:val="both"/>
        <w:textAlignment w:val="auto"/>
        <w:rPr>
          <w:rFonts w:ascii="Arial" w:eastAsia="Times New Roman" w:hAnsi="Arial"/>
          <w:iCs/>
          <w:sz w:val="22"/>
          <w:szCs w:val="22"/>
        </w:rPr>
      </w:pPr>
    </w:p>
    <w:p w14:paraId="0EAACD01" w14:textId="79D3B131" w:rsidR="00191809" w:rsidRPr="00260BE2" w:rsidRDefault="00191809" w:rsidP="000C4A7A">
      <w:pPr>
        <w:numPr>
          <w:ilvl w:val="0"/>
          <w:numId w:val="1"/>
        </w:numPr>
        <w:shd w:val="clear" w:color="auto" w:fill="D0CECE" w:themeFill="background2" w:themeFillShade="E6"/>
        <w:suppressAutoHyphens w:val="0"/>
        <w:autoSpaceDN/>
        <w:ind w:left="641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b/>
          <w:iCs/>
          <w:sz w:val="22"/>
          <w:szCs w:val="22"/>
        </w:rPr>
        <w:t>DOS PRAZOS DE VIG</w:t>
      </w:r>
      <w:r w:rsidR="00B25117" w:rsidRPr="00260BE2">
        <w:rPr>
          <w:rFonts w:ascii="Arial" w:eastAsia="Times New Roman" w:hAnsi="Arial"/>
          <w:b/>
          <w:iCs/>
          <w:sz w:val="22"/>
          <w:szCs w:val="22"/>
        </w:rPr>
        <w:t>Ê</w:t>
      </w:r>
      <w:r w:rsidRPr="00260BE2">
        <w:rPr>
          <w:rFonts w:ascii="Arial" w:eastAsia="Times New Roman" w:hAnsi="Arial"/>
          <w:b/>
          <w:iCs/>
          <w:sz w:val="22"/>
          <w:szCs w:val="22"/>
        </w:rPr>
        <w:t>NCIA</w:t>
      </w:r>
    </w:p>
    <w:p w14:paraId="24D04874" w14:textId="30FE7EBF" w:rsidR="00865FA2" w:rsidRPr="008D1920" w:rsidRDefault="00865FA2" w:rsidP="00865FA2">
      <w:pPr>
        <w:pStyle w:val="PargrafodaLista"/>
        <w:ind w:left="1046"/>
        <w:jc w:val="both"/>
        <w:rPr>
          <w:rFonts w:ascii="Arial" w:eastAsia="Times New Roman" w:hAnsi="Arial"/>
          <w:sz w:val="22"/>
          <w:szCs w:val="22"/>
        </w:rPr>
      </w:pPr>
      <w:bookmarkStart w:id="0" w:name="_Hlk222387720"/>
      <w:r w:rsidRPr="008D1920">
        <w:rPr>
          <w:rFonts w:ascii="Arial" w:eastAsia="Times New Roman" w:hAnsi="Arial"/>
          <w:bCs/>
          <w:sz w:val="22"/>
          <w:szCs w:val="22"/>
        </w:rPr>
        <w:t xml:space="preserve">O prazo de vigência será de </w:t>
      </w:r>
      <w:r w:rsidRPr="008D1920">
        <w:rPr>
          <w:rFonts w:ascii="Arial" w:eastAsia="Times New Roman" w:hAnsi="Arial"/>
          <w:b/>
          <w:sz w:val="22"/>
          <w:szCs w:val="22"/>
        </w:rPr>
        <w:t xml:space="preserve">180 (cento e oitenta) </w:t>
      </w:r>
      <w:r w:rsidRPr="008D1920">
        <w:rPr>
          <w:rFonts w:ascii="Arial" w:eastAsia="Times New Roman" w:hAnsi="Arial"/>
          <w:b/>
          <w:bCs/>
          <w:sz w:val="22"/>
          <w:szCs w:val="22"/>
        </w:rPr>
        <w:t>dias</w:t>
      </w:r>
      <w:r w:rsidRPr="008D1920">
        <w:rPr>
          <w:rFonts w:ascii="Arial" w:eastAsia="Times New Roman" w:hAnsi="Arial"/>
          <w:sz w:val="22"/>
          <w:szCs w:val="22"/>
        </w:rPr>
        <w:t>.</w:t>
      </w:r>
    </w:p>
    <w:p w14:paraId="65784602" w14:textId="257E0F8B" w:rsidR="00865FA2" w:rsidRPr="008D1920" w:rsidRDefault="00865FA2" w:rsidP="00865FA2">
      <w:pPr>
        <w:pStyle w:val="PargrafodaLista"/>
        <w:ind w:left="1046"/>
        <w:jc w:val="both"/>
        <w:rPr>
          <w:rFonts w:ascii="Arial" w:hAnsi="Arial"/>
          <w:sz w:val="22"/>
          <w:szCs w:val="22"/>
        </w:rPr>
      </w:pPr>
      <w:r w:rsidRPr="008D1920">
        <w:rPr>
          <w:rFonts w:ascii="Arial" w:eastAsia="Times New Roman" w:hAnsi="Arial"/>
          <w:bCs/>
          <w:sz w:val="22"/>
          <w:szCs w:val="22"/>
        </w:rPr>
        <w:t xml:space="preserve">O prazo de execução será de </w:t>
      </w:r>
      <w:r w:rsidRPr="008D1920">
        <w:rPr>
          <w:rFonts w:ascii="Arial" w:eastAsia="Times New Roman" w:hAnsi="Arial"/>
          <w:b/>
          <w:sz w:val="22"/>
          <w:szCs w:val="22"/>
        </w:rPr>
        <w:t>90 (noventa)</w:t>
      </w:r>
      <w:r w:rsidRPr="008D1920">
        <w:rPr>
          <w:rFonts w:ascii="Arial" w:eastAsia="Times New Roman" w:hAnsi="Arial"/>
          <w:bCs/>
          <w:sz w:val="22"/>
          <w:szCs w:val="22"/>
        </w:rPr>
        <w:t xml:space="preserve"> </w:t>
      </w:r>
      <w:r w:rsidRPr="008D1920">
        <w:rPr>
          <w:rFonts w:ascii="Arial" w:eastAsia="Times New Roman" w:hAnsi="Arial"/>
          <w:b/>
          <w:sz w:val="22"/>
          <w:szCs w:val="22"/>
        </w:rPr>
        <w:t>dias</w:t>
      </w:r>
      <w:r w:rsidRPr="008D1920">
        <w:rPr>
          <w:rFonts w:ascii="Arial" w:eastAsia="Times New Roman" w:hAnsi="Arial"/>
          <w:bCs/>
          <w:sz w:val="22"/>
          <w:szCs w:val="22"/>
        </w:rPr>
        <w:t>.</w:t>
      </w:r>
    </w:p>
    <w:bookmarkEnd w:id="0"/>
    <w:p w14:paraId="6A84311E" w14:textId="77777777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sz w:val="22"/>
          <w:szCs w:val="22"/>
        </w:rPr>
      </w:pPr>
    </w:p>
    <w:p w14:paraId="6C5D2D61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hAnsi="Arial"/>
          <w:b/>
          <w:sz w:val="22"/>
          <w:szCs w:val="22"/>
        </w:rPr>
        <w:t>DOS CRITÉRIOS DE MEDIÇÃO E PAGAMENTO</w:t>
      </w:r>
    </w:p>
    <w:p w14:paraId="64796803" w14:textId="77777777" w:rsidR="004D56ED" w:rsidRPr="00260BE2" w:rsidRDefault="004D56ED" w:rsidP="004D56ED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recebimento provisório e definitivo do objeto contratado será supervisionado pelo gestor e fiscal do contrato que atestará, mediante termo detalhado, o atendimento das exigências contratuais e de caráter técnico.</w:t>
      </w:r>
    </w:p>
    <w:p w14:paraId="20981ADA" w14:textId="77777777" w:rsidR="004D56ED" w:rsidRPr="00260BE2" w:rsidRDefault="004D56ED" w:rsidP="004D56ED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Os pagamentos serão efetuados em até 30 dias úteis após a entrega do objeto, mediante a verificação de regularidade ou apresentação dos seguintes documentos:</w:t>
      </w:r>
    </w:p>
    <w:p w14:paraId="064AD5EB" w14:textId="35D061CB" w:rsidR="004D56ED" w:rsidRPr="00260BE2" w:rsidRDefault="004D56ED" w:rsidP="004D56ED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a) </w:t>
      </w:r>
      <w:r w:rsidR="00E64786" w:rsidRPr="00260BE2">
        <w:rPr>
          <w:rFonts w:ascii="Arial" w:eastAsia="Times New Roman" w:hAnsi="Arial"/>
          <w:bCs/>
          <w:sz w:val="22"/>
          <w:szCs w:val="22"/>
        </w:rPr>
        <w:t xml:space="preserve">Certidão </w:t>
      </w:r>
      <w:r w:rsidR="0092042E">
        <w:rPr>
          <w:rFonts w:ascii="Arial" w:eastAsia="Times New Roman" w:hAnsi="Arial"/>
          <w:bCs/>
          <w:sz w:val="22"/>
          <w:szCs w:val="22"/>
        </w:rPr>
        <w:t>N</w:t>
      </w:r>
      <w:r w:rsidRPr="00260BE2">
        <w:rPr>
          <w:rFonts w:ascii="Arial" w:eastAsia="Times New Roman" w:hAnsi="Arial"/>
          <w:bCs/>
          <w:sz w:val="22"/>
          <w:szCs w:val="22"/>
        </w:rPr>
        <w:t xml:space="preserve">egativa de </w:t>
      </w:r>
      <w:r w:rsidR="00865FA2">
        <w:rPr>
          <w:rFonts w:ascii="Arial" w:eastAsia="Times New Roman" w:hAnsi="Arial"/>
          <w:bCs/>
          <w:sz w:val="22"/>
          <w:szCs w:val="22"/>
        </w:rPr>
        <w:t>D</w:t>
      </w:r>
      <w:r w:rsidRPr="00260BE2">
        <w:rPr>
          <w:rFonts w:ascii="Arial" w:eastAsia="Times New Roman" w:hAnsi="Arial"/>
          <w:bCs/>
          <w:sz w:val="22"/>
          <w:szCs w:val="22"/>
        </w:rPr>
        <w:t>ébito de FGTS;</w:t>
      </w:r>
    </w:p>
    <w:p w14:paraId="7FFD5F1A" w14:textId="77777777" w:rsidR="004D56ED" w:rsidRPr="00260BE2" w:rsidRDefault="004D56ED" w:rsidP="004D56ED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b) Certidão Conjunta Negativa de Débitos Relativos aos Tributos Federais e à Dívida Ativa da União;</w:t>
      </w:r>
    </w:p>
    <w:p w14:paraId="36365445" w14:textId="77777777" w:rsidR="004D56ED" w:rsidRPr="00260BE2" w:rsidRDefault="004D56ED" w:rsidP="004D56ED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c) Certidão Negativa de Débitos Trabalhistas (CNDT);</w:t>
      </w:r>
    </w:p>
    <w:p w14:paraId="5D4B9D3A" w14:textId="77777777" w:rsidR="004D56ED" w:rsidRPr="00260BE2" w:rsidRDefault="004D56ED" w:rsidP="004D56ED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d) Certidão Negativa de Débitos Municipais</w:t>
      </w:r>
    </w:p>
    <w:p w14:paraId="08C57C00" w14:textId="39BC11F2" w:rsidR="00191809" w:rsidRPr="00260BE2" w:rsidRDefault="00E64786" w:rsidP="006F4123">
      <w:pPr>
        <w:pStyle w:val="Standard"/>
        <w:suppressAutoHyphens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e</w:t>
      </w:r>
      <w:r w:rsidR="004D56ED" w:rsidRPr="00260BE2">
        <w:rPr>
          <w:rFonts w:ascii="Arial" w:eastAsia="Times New Roman" w:hAnsi="Arial"/>
          <w:bCs/>
          <w:sz w:val="22"/>
          <w:szCs w:val="22"/>
        </w:rPr>
        <w:t>) Certidão Negativa de Débitos da Fazenda Estadual</w:t>
      </w:r>
      <w:r w:rsidR="008C0B7D" w:rsidRPr="00260BE2">
        <w:rPr>
          <w:rFonts w:ascii="Arial" w:eastAsia="Times New Roman" w:hAnsi="Arial"/>
          <w:bCs/>
          <w:sz w:val="22"/>
          <w:szCs w:val="22"/>
        </w:rPr>
        <w:t>.</w:t>
      </w:r>
    </w:p>
    <w:p w14:paraId="1B32B100" w14:textId="77777777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sz w:val="22"/>
          <w:szCs w:val="22"/>
        </w:rPr>
      </w:pPr>
    </w:p>
    <w:p w14:paraId="02BCFDFD" w14:textId="76D44A68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hAnsi="Arial"/>
          <w:b/>
          <w:sz w:val="22"/>
          <w:szCs w:val="22"/>
        </w:rPr>
        <w:t>DA EXIST</w:t>
      </w:r>
      <w:r w:rsidR="004D56ED" w:rsidRPr="00260BE2">
        <w:rPr>
          <w:rFonts w:ascii="Arial" w:hAnsi="Arial"/>
          <w:b/>
          <w:sz w:val="22"/>
          <w:szCs w:val="22"/>
        </w:rPr>
        <w:t>Ê</w:t>
      </w:r>
      <w:r w:rsidRPr="00260BE2">
        <w:rPr>
          <w:rFonts w:ascii="Arial" w:hAnsi="Arial"/>
          <w:b/>
          <w:sz w:val="22"/>
          <w:szCs w:val="22"/>
        </w:rPr>
        <w:t>NCIA DE LICITAÇÃO ANTERIOR</w:t>
      </w:r>
    </w:p>
    <w:p w14:paraId="61D1F8CE" w14:textId="4813988B" w:rsidR="00B25117" w:rsidRPr="00260BE2" w:rsidRDefault="00C42CB2" w:rsidP="00C42CB2">
      <w:pPr>
        <w:shd w:val="clear" w:color="auto" w:fill="FFFFFF"/>
        <w:suppressAutoHyphens w:val="0"/>
        <w:autoSpaceDN/>
        <w:ind w:left="686" w:firstLine="448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Informamos que</w:t>
      </w:r>
      <w:r w:rsidR="00200EAD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</w:t>
      </w:r>
      <w:r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fo</w:t>
      </w:r>
      <w:r w:rsidR="002F0F84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ram</w:t>
      </w:r>
      <w:r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realizada</w:t>
      </w:r>
      <w:r w:rsidR="002F0F84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s</w:t>
      </w:r>
      <w:r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licitaç</w:t>
      </w:r>
      <w:r w:rsidR="002F0F84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ões</w:t>
      </w:r>
      <w:r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anterior</w:t>
      </w:r>
      <w:r w:rsidR="002F0F84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es</w:t>
      </w:r>
      <w:r w:rsidR="00200EAD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.</w:t>
      </w:r>
    </w:p>
    <w:p w14:paraId="5B008992" w14:textId="77777777" w:rsidR="00A40D3D" w:rsidRPr="00260BE2" w:rsidRDefault="00A40D3D" w:rsidP="00191809">
      <w:pPr>
        <w:pStyle w:val="Standard"/>
        <w:ind w:left="641"/>
        <w:jc w:val="both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</w:p>
    <w:p w14:paraId="36B3D4B8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  <w:t>DA FORMA E CRITÉRIOS DE SELEÇÃO DO FORNECEDOR</w:t>
      </w:r>
    </w:p>
    <w:p w14:paraId="2BF45BB4" w14:textId="77777777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color w:val="FF0000"/>
          <w:sz w:val="22"/>
          <w:szCs w:val="22"/>
        </w:rPr>
      </w:pPr>
      <w:bookmarkStart w:id="1" w:name="_Hlk193379076"/>
    </w:p>
    <w:p w14:paraId="26B99C5E" w14:textId="77777777" w:rsidR="008C0B7D" w:rsidRPr="00260BE2" w:rsidRDefault="008C0B7D" w:rsidP="008C0B7D">
      <w:pPr>
        <w:pStyle w:val="TableParagraph"/>
        <w:widowControl w:val="0"/>
        <w:numPr>
          <w:ilvl w:val="1"/>
          <w:numId w:val="2"/>
        </w:numPr>
        <w:spacing w:line="276" w:lineRule="auto"/>
        <w:ind w:hanging="351"/>
        <w:rPr>
          <w:rFonts w:ascii="Arial" w:hAnsi="Arial" w:cs="Arial"/>
          <w:b/>
          <w:sz w:val="22"/>
          <w:szCs w:val="22"/>
        </w:rPr>
      </w:pPr>
      <w:r w:rsidRPr="00260BE2">
        <w:rPr>
          <w:rFonts w:ascii="Arial" w:hAnsi="Arial" w:cs="Arial"/>
          <w:b/>
          <w:sz w:val="22"/>
          <w:szCs w:val="22"/>
        </w:rPr>
        <w:t>Da Forma de Seleção</w:t>
      </w:r>
    </w:p>
    <w:p w14:paraId="39B07FAA" w14:textId="2A2D7BEA" w:rsidR="008C0B7D" w:rsidRPr="00260BE2" w:rsidRDefault="008C0B7D" w:rsidP="008C0B7D">
      <w:pPr>
        <w:pStyle w:val="TableParagraph"/>
        <w:widowControl w:val="0"/>
        <w:spacing w:line="360" w:lineRule="auto"/>
        <w:ind w:left="283" w:firstLine="426"/>
        <w:jc w:val="both"/>
        <w:rPr>
          <w:rFonts w:ascii="Arial" w:hAnsi="Arial" w:cs="Arial"/>
          <w:b/>
          <w:sz w:val="22"/>
          <w:szCs w:val="22"/>
        </w:rPr>
      </w:pPr>
      <w:r w:rsidRPr="00260BE2">
        <w:rPr>
          <w:rFonts w:ascii="Arial" w:hAnsi="Arial" w:cs="Arial"/>
          <w:sz w:val="22"/>
          <w:szCs w:val="22"/>
        </w:rPr>
        <w:t xml:space="preserve">O fornecedor será selecionado por meio da realização de procedimento de Licitação, na modalidade </w:t>
      </w:r>
      <w:r w:rsidR="00865FA2" w:rsidRPr="00865FA2">
        <w:rPr>
          <w:rFonts w:ascii="Arial" w:hAnsi="Arial" w:cs="Arial"/>
          <w:b/>
          <w:sz w:val="22"/>
          <w:szCs w:val="22"/>
          <w:lang w:val="pt-BR"/>
        </w:rPr>
        <w:t xml:space="preserve">CONCORRÊNCIA PRESENCIAL, </w:t>
      </w:r>
      <w:r w:rsidR="00865FA2" w:rsidRPr="00865FA2">
        <w:rPr>
          <w:rFonts w:ascii="Arial" w:hAnsi="Arial" w:cs="Arial"/>
          <w:bCs/>
          <w:sz w:val="22"/>
          <w:szCs w:val="22"/>
          <w:lang w:val="pt-BR"/>
        </w:rPr>
        <w:t>com adoção do critério de julgamento pel</w:t>
      </w:r>
      <w:r w:rsidR="00865FA2">
        <w:rPr>
          <w:rFonts w:ascii="Arial" w:hAnsi="Arial" w:cs="Arial"/>
          <w:bCs/>
          <w:sz w:val="22"/>
          <w:szCs w:val="22"/>
          <w:lang w:val="pt-BR"/>
        </w:rPr>
        <w:t>o</w:t>
      </w:r>
      <w:r w:rsidR="00865FA2" w:rsidRPr="00865FA2">
        <w:rPr>
          <w:rFonts w:ascii="Arial" w:hAnsi="Arial" w:cs="Arial"/>
          <w:b/>
          <w:sz w:val="22"/>
          <w:szCs w:val="22"/>
          <w:lang w:val="pt-BR"/>
        </w:rPr>
        <w:t xml:space="preserve"> MENOR PREÇO GLOBAL</w:t>
      </w:r>
      <w:r w:rsidRPr="00260BE2">
        <w:rPr>
          <w:rFonts w:ascii="Arial" w:hAnsi="Arial" w:cs="Arial"/>
          <w:b/>
          <w:sz w:val="22"/>
          <w:szCs w:val="22"/>
        </w:rPr>
        <w:t xml:space="preserve">. </w:t>
      </w:r>
    </w:p>
    <w:p w14:paraId="22C16E3F" w14:textId="77777777" w:rsidR="00191809" w:rsidRPr="00260BE2" w:rsidRDefault="00191809" w:rsidP="00E6614E">
      <w:pPr>
        <w:pStyle w:val="TableParagraph"/>
        <w:widowControl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71AF273F" w14:textId="77777777" w:rsidR="00191809" w:rsidRPr="00260BE2" w:rsidRDefault="00191809" w:rsidP="00191809">
      <w:pPr>
        <w:pStyle w:val="TableParagraph"/>
        <w:widowControl w:val="0"/>
        <w:numPr>
          <w:ilvl w:val="1"/>
          <w:numId w:val="2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260BE2">
        <w:rPr>
          <w:rFonts w:ascii="Arial" w:hAnsi="Arial" w:cs="Arial"/>
          <w:b/>
          <w:sz w:val="22"/>
          <w:szCs w:val="22"/>
        </w:rPr>
        <w:t xml:space="preserve"> Dos Critérios de Seleção</w:t>
      </w:r>
    </w:p>
    <w:p w14:paraId="67819D36" w14:textId="77777777" w:rsidR="00191809" w:rsidRPr="00260BE2" w:rsidRDefault="00191809" w:rsidP="000C4A7A">
      <w:pPr>
        <w:pStyle w:val="Lista"/>
        <w:shd w:val="clear" w:color="auto" w:fill="D0CECE" w:themeFill="background2" w:themeFillShade="E6"/>
        <w:ind w:left="709"/>
        <w:rPr>
          <w:rFonts w:ascii="Arial" w:hAnsi="Arial"/>
          <w:b/>
          <w:sz w:val="22"/>
          <w:szCs w:val="22"/>
          <w:lang w:eastAsia="en-US"/>
        </w:rPr>
      </w:pPr>
      <w:r w:rsidRPr="00260BE2">
        <w:rPr>
          <w:rFonts w:ascii="Arial" w:hAnsi="Arial"/>
          <w:b/>
          <w:sz w:val="22"/>
          <w:szCs w:val="22"/>
          <w:lang w:eastAsia="en-US"/>
        </w:rPr>
        <w:t>Habilitação jurídica</w:t>
      </w:r>
    </w:p>
    <w:p w14:paraId="72790E3C" w14:textId="77777777" w:rsidR="00191809" w:rsidRPr="00260BE2" w:rsidRDefault="00191809" w:rsidP="00C5253F">
      <w:pPr>
        <w:pStyle w:val="Nivel2"/>
        <w:numPr>
          <w:ilvl w:val="2"/>
          <w:numId w:val="2"/>
        </w:numPr>
        <w:autoSpaceDN/>
        <w:textAlignment w:val="auto"/>
        <w:rPr>
          <w:color w:val="auto"/>
          <w:sz w:val="22"/>
          <w:szCs w:val="22"/>
        </w:rPr>
      </w:pPr>
      <w:r w:rsidRPr="00260BE2">
        <w:rPr>
          <w:b/>
          <w:color w:val="auto"/>
          <w:sz w:val="22"/>
          <w:szCs w:val="22"/>
        </w:rPr>
        <w:t>No caso de empresário individual</w:t>
      </w:r>
      <w:r w:rsidRPr="00260BE2">
        <w:rPr>
          <w:color w:val="auto"/>
          <w:sz w:val="22"/>
          <w:szCs w:val="22"/>
        </w:rPr>
        <w:t xml:space="preserve">: inscrição no </w:t>
      </w:r>
      <w:r w:rsidRPr="00260BE2">
        <w:rPr>
          <w:b/>
          <w:color w:val="auto"/>
          <w:sz w:val="22"/>
          <w:szCs w:val="22"/>
        </w:rPr>
        <w:t>Registro Público de Empresas Mercantis</w:t>
      </w:r>
      <w:r w:rsidRPr="00260BE2">
        <w:rPr>
          <w:color w:val="auto"/>
          <w:sz w:val="22"/>
          <w:szCs w:val="22"/>
        </w:rPr>
        <w:t xml:space="preserve">, a cargo da Junta Comercial da respectiva sede; </w:t>
      </w:r>
    </w:p>
    <w:p w14:paraId="29240A09" w14:textId="77777777" w:rsidR="00191809" w:rsidRPr="00260BE2" w:rsidRDefault="00191809" w:rsidP="00C5253F">
      <w:pPr>
        <w:pStyle w:val="Nivel2"/>
        <w:numPr>
          <w:ilvl w:val="2"/>
          <w:numId w:val="2"/>
        </w:numPr>
        <w:autoSpaceDN/>
        <w:textAlignment w:val="auto"/>
        <w:rPr>
          <w:color w:val="auto"/>
          <w:sz w:val="22"/>
          <w:szCs w:val="22"/>
        </w:rPr>
      </w:pPr>
      <w:r w:rsidRPr="00260BE2">
        <w:rPr>
          <w:b/>
          <w:color w:val="auto"/>
          <w:sz w:val="22"/>
          <w:szCs w:val="22"/>
        </w:rPr>
        <w:lastRenderedPageBreak/>
        <w:t>No caso de sociedade empresária ou empresa individual</w:t>
      </w:r>
      <w:r w:rsidRPr="00260BE2">
        <w:rPr>
          <w:color w:val="auto"/>
          <w:sz w:val="22"/>
          <w:szCs w:val="22"/>
        </w:rPr>
        <w:t xml:space="preserve"> de responsabilidade limitada - EIRELI: ato constitutivo, estatuto ou contrato social em vigor, devidamente registrado na Junta Comercial da respectiva sede.</w:t>
      </w:r>
    </w:p>
    <w:p w14:paraId="66A1C705" w14:textId="77777777" w:rsidR="00191809" w:rsidRPr="00260BE2" w:rsidRDefault="00191809" w:rsidP="00C5253F">
      <w:pPr>
        <w:pStyle w:val="Nivel2"/>
        <w:numPr>
          <w:ilvl w:val="2"/>
          <w:numId w:val="2"/>
        </w:numPr>
        <w:autoSpaceDN/>
        <w:textAlignment w:val="auto"/>
        <w:rPr>
          <w:color w:val="auto"/>
          <w:sz w:val="22"/>
          <w:szCs w:val="22"/>
        </w:rPr>
      </w:pPr>
      <w:r w:rsidRPr="00260BE2">
        <w:rPr>
          <w:color w:val="auto"/>
          <w:sz w:val="22"/>
          <w:szCs w:val="22"/>
        </w:rPr>
        <w:t xml:space="preserve">Em se tratando de </w:t>
      </w:r>
      <w:r w:rsidRPr="00260BE2">
        <w:rPr>
          <w:b/>
          <w:color w:val="auto"/>
          <w:sz w:val="22"/>
          <w:szCs w:val="22"/>
        </w:rPr>
        <w:t>Microempreendedor Individual – MEI</w:t>
      </w:r>
      <w:r w:rsidRPr="00260BE2">
        <w:rPr>
          <w:color w:val="auto"/>
          <w:sz w:val="22"/>
          <w:szCs w:val="22"/>
        </w:rPr>
        <w:t xml:space="preserve">: Certificado da Condição de Microempreendedor Individual - CCMEI, na forma da Resolução CGSIM nº 16, de 2009, cuja aceitação ficará condicionada à verificação da autenticidade no sítio www.portaldoempreendedor.gov.br; </w:t>
      </w:r>
    </w:p>
    <w:p w14:paraId="675CFD28" w14:textId="77777777" w:rsidR="00191809" w:rsidRPr="00260BE2" w:rsidRDefault="00C5253F" w:rsidP="00C5253F">
      <w:pPr>
        <w:pStyle w:val="Nivel2"/>
        <w:numPr>
          <w:ilvl w:val="2"/>
          <w:numId w:val="2"/>
        </w:numPr>
        <w:autoSpaceDN/>
        <w:textAlignment w:val="auto"/>
        <w:rPr>
          <w:color w:val="auto"/>
          <w:sz w:val="22"/>
          <w:szCs w:val="22"/>
        </w:rPr>
      </w:pPr>
      <w:r w:rsidRPr="00260BE2">
        <w:rPr>
          <w:color w:val="auto"/>
          <w:sz w:val="22"/>
          <w:szCs w:val="22"/>
        </w:rPr>
        <w:t>Documentos Pessoais dos Sócios: RG e CPF ou CNH</w:t>
      </w:r>
      <w:r w:rsidR="00191809" w:rsidRPr="00260BE2">
        <w:rPr>
          <w:color w:val="auto"/>
          <w:sz w:val="22"/>
          <w:szCs w:val="22"/>
        </w:rPr>
        <w:t>.</w:t>
      </w:r>
    </w:p>
    <w:p w14:paraId="7568C869" w14:textId="1BC3C7F5" w:rsidR="00191809" w:rsidRPr="00260BE2" w:rsidRDefault="00191809" w:rsidP="000C4A7A">
      <w:pPr>
        <w:pStyle w:val="Lista"/>
        <w:shd w:val="clear" w:color="auto" w:fill="D0CECE" w:themeFill="background2" w:themeFillShade="E6"/>
        <w:ind w:left="720"/>
        <w:rPr>
          <w:rFonts w:ascii="Arial" w:hAnsi="Arial"/>
          <w:b/>
          <w:sz w:val="22"/>
          <w:szCs w:val="22"/>
          <w:lang w:eastAsia="en-US"/>
        </w:rPr>
      </w:pPr>
      <w:r w:rsidRPr="00260BE2">
        <w:rPr>
          <w:rFonts w:ascii="Arial" w:hAnsi="Arial"/>
          <w:b/>
          <w:sz w:val="22"/>
          <w:szCs w:val="22"/>
          <w:lang w:eastAsia="en-US"/>
        </w:rPr>
        <w:t xml:space="preserve">Habilitação fiscal, social e </w:t>
      </w:r>
      <w:r w:rsidR="00A40D3D" w:rsidRPr="00260BE2">
        <w:rPr>
          <w:rFonts w:ascii="Arial" w:hAnsi="Arial"/>
          <w:b/>
          <w:sz w:val="22"/>
          <w:szCs w:val="22"/>
          <w:lang w:eastAsia="en-US"/>
        </w:rPr>
        <w:t>tr</w:t>
      </w:r>
      <w:r w:rsidRPr="00260BE2">
        <w:rPr>
          <w:rFonts w:ascii="Arial" w:hAnsi="Arial"/>
          <w:b/>
          <w:sz w:val="22"/>
          <w:szCs w:val="22"/>
          <w:lang w:eastAsia="en-US"/>
        </w:rPr>
        <w:t>abalhista</w:t>
      </w:r>
    </w:p>
    <w:p w14:paraId="4FDD5F07" w14:textId="209BE5D0" w:rsidR="00191809" w:rsidRPr="00260BE2" w:rsidRDefault="00191809" w:rsidP="00C5253F">
      <w:pPr>
        <w:pStyle w:val="Nivel2"/>
        <w:numPr>
          <w:ilvl w:val="2"/>
          <w:numId w:val="2"/>
        </w:numPr>
        <w:autoSpaceDN/>
        <w:spacing w:before="0" w:afterLines="120" w:after="288" w:line="240" w:lineRule="auto"/>
        <w:textAlignment w:val="auto"/>
        <w:rPr>
          <w:color w:val="auto"/>
          <w:sz w:val="22"/>
          <w:szCs w:val="22"/>
        </w:rPr>
      </w:pPr>
      <w:r w:rsidRPr="00260BE2">
        <w:rPr>
          <w:color w:val="auto"/>
          <w:sz w:val="22"/>
          <w:szCs w:val="22"/>
        </w:rPr>
        <w:t xml:space="preserve">Prova de inscrição no </w:t>
      </w:r>
      <w:r w:rsidRPr="00260BE2">
        <w:rPr>
          <w:b/>
          <w:color w:val="auto"/>
          <w:sz w:val="22"/>
          <w:szCs w:val="22"/>
        </w:rPr>
        <w:t>Cadastro Nacional de Pessoas Jurídicas</w:t>
      </w:r>
      <w:r w:rsidR="00C5253F" w:rsidRPr="00260BE2">
        <w:rPr>
          <w:color w:val="auto"/>
          <w:sz w:val="22"/>
          <w:szCs w:val="22"/>
        </w:rPr>
        <w:t xml:space="preserve"> –CNPJ – </w:t>
      </w:r>
      <w:r w:rsidR="00C5253F" w:rsidRPr="00260BE2">
        <w:rPr>
          <w:b/>
          <w:color w:val="auto"/>
          <w:sz w:val="22"/>
          <w:szCs w:val="22"/>
        </w:rPr>
        <w:t>Cartão CNPJ (atualizado)</w:t>
      </w:r>
      <w:r w:rsidR="004D56ED" w:rsidRPr="00260BE2">
        <w:rPr>
          <w:b/>
          <w:color w:val="auto"/>
          <w:sz w:val="22"/>
          <w:szCs w:val="22"/>
        </w:rPr>
        <w:t>;</w:t>
      </w:r>
    </w:p>
    <w:p w14:paraId="7A93652F" w14:textId="0C844ACE" w:rsidR="00191809" w:rsidRPr="00260BE2" w:rsidRDefault="00191809" w:rsidP="00C5253F">
      <w:pPr>
        <w:pStyle w:val="Nivel2"/>
        <w:numPr>
          <w:ilvl w:val="2"/>
          <w:numId w:val="2"/>
        </w:numPr>
        <w:autoSpaceDN/>
        <w:spacing w:before="0" w:afterLines="120" w:after="288" w:line="240" w:lineRule="auto"/>
        <w:textAlignment w:val="auto"/>
        <w:rPr>
          <w:color w:val="auto"/>
          <w:sz w:val="22"/>
          <w:szCs w:val="22"/>
        </w:rPr>
      </w:pPr>
      <w:r w:rsidRPr="00260BE2">
        <w:rPr>
          <w:color w:val="auto"/>
          <w:sz w:val="22"/>
          <w:szCs w:val="22"/>
        </w:rPr>
        <w:t xml:space="preserve">Prova de regularidade para com a </w:t>
      </w:r>
      <w:r w:rsidRPr="00260BE2">
        <w:rPr>
          <w:b/>
          <w:color w:val="auto"/>
          <w:sz w:val="22"/>
          <w:szCs w:val="22"/>
        </w:rPr>
        <w:t>Fazenda Federal</w:t>
      </w:r>
      <w:r w:rsidRPr="00260BE2">
        <w:rPr>
          <w:color w:val="auto"/>
          <w:sz w:val="22"/>
          <w:szCs w:val="22"/>
        </w:rPr>
        <w:t>, mediante a apresentação de Certidão Conjunta de Débitos relativos a Tributos Federais e a Dívida Ativa da União, expedida pela Secretaria da Receita Federal do Ministério da Fazenda</w:t>
      </w:r>
      <w:r w:rsidR="004D56ED" w:rsidRPr="00260BE2">
        <w:rPr>
          <w:color w:val="auto"/>
          <w:sz w:val="22"/>
          <w:szCs w:val="22"/>
        </w:rPr>
        <w:t>;</w:t>
      </w:r>
    </w:p>
    <w:p w14:paraId="039DAD85" w14:textId="77777777" w:rsidR="00191809" w:rsidRPr="00260BE2" w:rsidRDefault="00191809" w:rsidP="00C5253F">
      <w:pPr>
        <w:pStyle w:val="Nivel2"/>
        <w:numPr>
          <w:ilvl w:val="2"/>
          <w:numId w:val="2"/>
        </w:numPr>
        <w:autoSpaceDN/>
        <w:spacing w:before="0" w:afterLines="120" w:after="288" w:line="240" w:lineRule="auto"/>
        <w:textAlignment w:val="auto"/>
        <w:rPr>
          <w:color w:val="auto"/>
          <w:sz w:val="22"/>
          <w:szCs w:val="22"/>
        </w:rPr>
      </w:pPr>
      <w:r w:rsidRPr="00260BE2">
        <w:rPr>
          <w:color w:val="auto"/>
          <w:sz w:val="22"/>
          <w:szCs w:val="22"/>
        </w:rPr>
        <w:t>Prova de regularidade com o Fundo de Garantia do Tempo de Serviço (</w:t>
      </w:r>
      <w:r w:rsidRPr="00260BE2">
        <w:rPr>
          <w:b/>
          <w:color w:val="auto"/>
          <w:sz w:val="22"/>
          <w:szCs w:val="22"/>
        </w:rPr>
        <w:t>FGTS</w:t>
      </w:r>
      <w:r w:rsidRPr="00260BE2">
        <w:rPr>
          <w:color w:val="auto"/>
          <w:sz w:val="22"/>
          <w:szCs w:val="22"/>
        </w:rPr>
        <w:t>);</w:t>
      </w:r>
    </w:p>
    <w:p w14:paraId="53167B17" w14:textId="77777777" w:rsidR="00191809" w:rsidRPr="00260BE2" w:rsidRDefault="00191809" w:rsidP="00C5253F">
      <w:pPr>
        <w:pStyle w:val="Nivel2"/>
        <w:numPr>
          <w:ilvl w:val="2"/>
          <w:numId w:val="2"/>
        </w:numPr>
        <w:autoSpaceDN/>
        <w:spacing w:before="0" w:afterLines="120" w:after="288" w:line="240" w:lineRule="auto"/>
        <w:textAlignment w:val="auto"/>
        <w:rPr>
          <w:color w:val="auto"/>
          <w:sz w:val="22"/>
          <w:szCs w:val="22"/>
        </w:rPr>
      </w:pPr>
      <w:r w:rsidRPr="00260BE2">
        <w:rPr>
          <w:color w:val="auto"/>
          <w:sz w:val="22"/>
          <w:szCs w:val="22"/>
        </w:rPr>
        <w:t xml:space="preserve">Prova de inexistência de débitos inadimplidos perante a Justiça do Trabalho, mediante a apresentação de </w:t>
      </w:r>
      <w:r w:rsidRPr="00260BE2">
        <w:rPr>
          <w:b/>
          <w:color w:val="auto"/>
          <w:sz w:val="22"/>
          <w:szCs w:val="22"/>
        </w:rPr>
        <w:t>Certidão Negativa de Débitos Trabalhistas</w:t>
      </w:r>
      <w:r w:rsidRPr="00260BE2">
        <w:rPr>
          <w:color w:val="auto"/>
          <w:sz w:val="22"/>
          <w:szCs w:val="22"/>
        </w:rPr>
        <w:t xml:space="preserve"> (CNDT), nos termos do Título VII-A da Consolidação das Leis do Trabalho, aprovada pelo Decreto-Lei nº 5.452, de 1º de maio de 1943;</w:t>
      </w:r>
    </w:p>
    <w:p w14:paraId="207D0EE7" w14:textId="77777777" w:rsidR="00191809" w:rsidRPr="00260BE2" w:rsidRDefault="00191809" w:rsidP="00C5253F">
      <w:pPr>
        <w:pStyle w:val="Nivel2"/>
        <w:numPr>
          <w:ilvl w:val="2"/>
          <w:numId w:val="2"/>
        </w:numPr>
        <w:autoSpaceDN/>
        <w:spacing w:before="0" w:afterLines="120" w:after="288" w:line="240" w:lineRule="auto"/>
        <w:textAlignment w:val="auto"/>
        <w:rPr>
          <w:color w:val="auto"/>
          <w:sz w:val="22"/>
          <w:szCs w:val="22"/>
        </w:rPr>
      </w:pPr>
      <w:r w:rsidRPr="00260BE2">
        <w:rPr>
          <w:color w:val="auto"/>
          <w:sz w:val="22"/>
          <w:szCs w:val="22"/>
        </w:rPr>
        <w:t xml:space="preserve">Prova de regularidade com a </w:t>
      </w:r>
      <w:r w:rsidRPr="00260BE2">
        <w:rPr>
          <w:b/>
          <w:color w:val="auto"/>
          <w:sz w:val="22"/>
          <w:szCs w:val="22"/>
        </w:rPr>
        <w:t>Fazenda Municipal</w:t>
      </w:r>
      <w:r w:rsidRPr="00260BE2">
        <w:rPr>
          <w:color w:val="auto"/>
          <w:sz w:val="22"/>
          <w:szCs w:val="22"/>
        </w:rPr>
        <w:t xml:space="preserve"> do domicílio ou sede do fornecedor, relativa à atividade em cujo exercício contrata ou concorre;</w:t>
      </w:r>
    </w:p>
    <w:p w14:paraId="78B17CD2" w14:textId="1B90E488" w:rsidR="00191809" w:rsidRPr="00260BE2" w:rsidRDefault="00191809" w:rsidP="00C5253F">
      <w:pPr>
        <w:pStyle w:val="Nivel2"/>
        <w:numPr>
          <w:ilvl w:val="2"/>
          <w:numId w:val="2"/>
        </w:numPr>
        <w:autoSpaceDN/>
        <w:spacing w:before="0" w:afterLines="120" w:after="288" w:line="240" w:lineRule="auto"/>
        <w:textAlignment w:val="auto"/>
        <w:rPr>
          <w:color w:val="auto"/>
          <w:sz w:val="22"/>
          <w:szCs w:val="22"/>
        </w:rPr>
      </w:pPr>
      <w:r w:rsidRPr="00260BE2">
        <w:rPr>
          <w:color w:val="auto"/>
          <w:sz w:val="22"/>
          <w:szCs w:val="22"/>
        </w:rPr>
        <w:t xml:space="preserve">Prova de regularidade com a </w:t>
      </w:r>
      <w:r w:rsidRPr="00260BE2">
        <w:rPr>
          <w:b/>
          <w:color w:val="auto"/>
          <w:sz w:val="22"/>
          <w:szCs w:val="22"/>
        </w:rPr>
        <w:t xml:space="preserve">Fazenda Estadual </w:t>
      </w:r>
      <w:r w:rsidRPr="00260BE2">
        <w:rPr>
          <w:color w:val="auto"/>
          <w:sz w:val="22"/>
          <w:szCs w:val="22"/>
        </w:rPr>
        <w:t>do domicílio ou sede do fornecedor, relativa à atividade em cujo exercício contrata ou concorre</w:t>
      </w:r>
      <w:r w:rsidR="004D56ED" w:rsidRPr="00260BE2">
        <w:rPr>
          <w:color w:val="auto"/>
          <w:sz w:val="22"/>
          <w:szCs w:val="22"/>
        </w:rPr>
        <w:t>.</w:t>
      </w:r>
    </w:p>
    <w:p w14:paraId="4C0E7A60" w14:textId="77777777" w:rsidR="00191809" w:rsidRPr="00260BE2" w:rsidRDefault="00191809" w:rsidP="000C4A7A">
      <w:pPr>
        <w:pStyle w:val="Lista"/>
        <w:shd w:val="clear" w:color="auto" w:fill="D0CECE" w:themeFill="background2" w:themeFillShade="E6"/>
        <w:ind w:left="720"/>
        <w:rPr>
          <w:rFonts w:ascii="Arial" w:hAnsi="Arial"/>
          <w:b/>
          <w:sz w:val="22"/>
          <w:szCs w:val="22"/>
          <w:lang w:eastAsia="en-US"/>
        </w:rPr>
      </w:pPr>
      <w:r w:rsidRPr="00260BE2">
        <w:rPr>
          <w:rFonts w:ascii="Arial" w:hAnsi="Arial"/>
          <w:b/>
          <w:sz w:val="22"/>
          <w:szCs w:val="22"/>
          <w:lang w:eastAsia="en-US"/>
        </w:rPr>
        <w:t>Qualificação Econômico-Financeira</w:t>
      </w:r>
    </w:p>
    <w:p w14:paraId="627998E7" w14:textId="476C29EB" w:rsidR="00191809" w:rsidRPr="00260BE2" w:rsidRDefault="00C5253F" w:rsidP="00C5253F">
      <w:pPr>
        <w:pStyle w:val="Nivel2"/>
        <w:numPr>
          <w:ilvl w:val="2"/>
          <w:numId w:val="2"/>
        </w:numPr>
        <w:autoSpaceDN/>
        <w:spacing w:before="0" w:after="0" w:line="240" w:lineRule="auto"/>
        <w:textAlignment w:val="auto"/>
        <w:rPr>
          <w:b/>
          <w:bCs/>
          <w:color w:val="auto"/>
          <w:sz w:val="22"/>
          <w:szCs w:val="22"/>
        </w:rPr>
      </w:pPr>
      <w:r w:rsidRPr="00260BE2">
        <w:rPr>
          <w:b/>
          <w:color w:val="auto"/>
          <w:sz w:val="22"/>
          <w:szCs w:val="22"/>
          <w:u w:val="single"/>
        </w:rPr>
        <w:t>CERTIDÃO NEGATIVA DE FALÊNCIA</w:t>
      </w:r>
      <w:r w:rsidRPr="00260BE2">
        <w:rPr>
          <w:color w:val="auto"/>
          <w:sz w:val="22"/>
          <w:szCs w:val="22"/>
        </w:rPr>
        <w:t xml:space="preserve"> </w:t>
      </w:r>
      <w:r w:rsidR="00191809" w:rsidRPr="00260BE2">
        <w:rPr>
          <w:color w:val="auto"/>
          <w:sz w:val="22"/>
          <w:szCs w:val="22"/>
        </w:rPr>
        <w:t>expedida pelo distribuidor do Foro da sede da Pessoa Jurídica. (</w:t>
      </w:r>
      <w:hyperlink r:id="rId7" w:anchor="art69" w:history="1">
        <w:r w:rsidR="00191809" w:rsidRPr="00260BE2">
          <w:rPr>
            <w:rStyle w:val="Hyperlink"/>
            <w:color w:val="auto"/>
            <w:sz w:val="22"/>
            <w:szCs w:val="22"/>
          </w:rPr>
          <w:t>Lei nº 14.133, de 2021, art. 69, caput, inciso II</w:t>
        </w:r>
      </w:hyperlink>
      <w:r w:rsidRPr="00260BE2">
        <w:rPr>
          <w:color w:val="auto"/>
          <w:sz w:val="22"/>
          <w:szCs w:val="22"/>
        </w:rPr>
        <w:t>), referente à matriz e, quando for o caso, igualmente da filial licitante, em data não anterior a 120 (cento e vinte) dias da abertura da sessão pública deste PREGÃO, se outro prazo não constar do documento</w:t>
      </w:r>
      <w:r w:rsidR="004D56ED" w:rsidRPr="00260BE2">
        <w:rPr>
          <w:color w:val="auto"/>
          <w:sz w:val="22"/>
          <w:szCs w:val="22"/>
        </w:rPr>
        <w:t>.</w:t>
      </w:r>
    </w:p>
    <w:p w14:paraId="6DEBC290" w14:textId="77777777" w:rsidR="00191809" w:rsidRPr="00260BE2" w:rsidRDefault="00191809" w:rsidP="00191809">
      <w:pPr>
        <w:pStyle w:val="Nivel2"/>
        <w:autoSpaceDN/>
        <w:spacing w:before="0" w:after="0" w:line="240" w:lineRule="auto"/>
        <w:ind w:left="1428"/>
        <w:textAlignment w:val="auto"/>
        <w:rPr>
          <w:b/>
          <w:bCs/>
          <w:color w:val="auto"/>
          <w:sz w:val="22"/>
          <w:szCs w:val="22"/>
        </w:rPr>
      </w:pPr>
    </w:p>
    <w:p w14:paraId="0893F6B1" w14:textId="77777777" w:rsidR="00191809" w:rsidRPr="00260BE2" w:rsidRDefault="00191809" w:rsidP="000C4A7A">
      <w:pPr>
        <w:pStyle w:val="Nivel2"/>
        <w:shd w:val="clear" w:color="auto" w:fill="D0CECE" w:themeFill="background2" w:themeFillShade="E6"/>
        <w:autoSpaceDN/>
        <w:spacing w:before="0" w:after="0" w:line="240" w:lineRule="auto"/>
        <w:ind w:left="709"/>
        <w:textAlignment w:val="auto"/>
        <w:rPr>
          <w:b/>
          <w:bCs/>
          <w:color w:val="auto"/>
          <w:sz w:val="22"/>
          <w:szCs w:val="22"/>
        </w:rPr>
      </w:pPr>
      <w:r w:rsidRPr="00260BE2">
        <w:rPr>
          <w:b/>
          <w:color w:val="auto"/>
          <w:sz w:val="22"/>
          <w:szCs w:val="22"/>
        </w:rPr>
        <w:t>Qualificação técnica</w:t>
      </w:r>
    </w:p>
    <w:p w14:paraId="71D8007C" w14:textId="7B6DD8C3" w:rsidR="0029145C" w:rsidRPr="001E4319" w:rsidRDefault="0029145C" w:rsidP="0029145C">
      <w:pPr>
        <w:jc w:val="both"/>
        <w:rPr>
          <w:highlight w:val="yellow"/>
        </w:rPr>
      </w:pPr>
      <w:bookmarkStart w:id="2" w:name="_Hlk131067585"/>
      <w:r w:rsidRPr="001E4319">
        <w:rPr>
          <w:highlight w:val="yellow"/>
        </w:rPr>
        <w:t>Capacidade Técnica Operacional:</w:t>
      </w:r>
    </w:p>
    <w:p w14:paraId="06979B9F" w14:textId="77777777" w:rsidR="0029145C" w:rsidRPr="001E4319" w:rsidRDefault="0029145C" w:rsidP="0029145C">
      <w:pPr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a) </w:t>
      </w:r>
      <w:r w:rsidRPr="001E4319">
        <w:rPr>
          <w:highlight w:val="yellow"/>
          <w:shd w:val="clear" w:color="auto" w:fill="FFFFFF"/>
        </w:rPr>
        <w:t>Certidão de Registro de Pessoa Jurídica com a regularidade do licitante junto ao Conselho Regional de Engenharia e Agronomia – CREA e/ou Conselho de Arquitetura e Urbanismo – CAU, dentro de seu prazo de validade e com jurisdição na sua sede.</w:t>
      </w:r>
    </w:p>
    <w:p w14:paraId="0139DEEF" w14:textId="77777777" w:rsidR="0029145C" w:rsidRPr="001E4319" w:rsidRDefault="0029145C" w:rsidP="0029145C">
      <w:pPr>
        <w:ind w:left="284"/>
        <w:jc w:val="both"/>
        <w:rPr>
          <w:highlight w:val="yellow"/>
        </w:rPr>
      </w:pPr>
      <w:r w:rsidRPr="001E4319">
        <w:rPr>
          <w:highlight w:val="yellow"/>
        </w:rPr>
        <w:t xml:space="preserve">a.1) </w:t>
      </w:r>
      <w:r w:rsidRPr="001E4319">
        <w:rPr>
          <w:highlight w:val="yellow"/>
          <w:shd w:val="clear" w:color="auto" w:fill="FFFFFF"/>
        </w:rPr>
        <w:t>Em se tratando de empresa de engenharia não registrada no CREA do Estado do Paraná deverá apresentar o registro do CREA do Estado de origem, ficando a licitante vencedora obrigada a apresentar o visto do CREA do Paraná antes da assinatura do contrato.</w:t>
      </w:r>
    </w:p>
    <w:p w14:paraId="242A24D5" w14:textId="77777777" w:rsidR="0029145C" w:rsidRPr="001E4319" w:rsidRDefault="0029145C" w:rsidP="0029145C">
      <w:pPr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b) </w:t>
      </w:r>
      <w:bookmarkStart w:id="3" w:name="_Hlk131083026"/>
      <w:r w:rsidRPr="001E4319">
        <w:rPr>
          <w:highlight w:val="yellow"/>
          <w:shd w:val="clear" w:color="auto" w:fill="FFFFFF"/>
        </w:rPr>
        <w:t>Comprovação de possuir em nome da empresa, atestado fornecido por pessoa jurídica de direito público ou privado, de responsabilidade técnica com comprovação de descrição do objeto e quantidade mínima, nos termos dos artigos 67 e seguintes da Lei 14.133/2021, sendo permitido o somatório de atestados:</w:t>
      </w:r>
      <w:bookmarkEnd w:id="2"/>
    </w:p>
    <w:p w14:paraId="7FD3C715" w14:textId="77777777" w:rsidR="0029145C" w:rsidRPr="001E4319" w:rsidRDefault="0029145C" w:rsidP="0029145C">
      <w:pPr>
        <w:ind w:left="851" w:firstLine="567"/>
        <w:jc w:val="both"/>
        <w:rPr>
          <w:highlight w:val="yellow"/>
          <w:shd w:val="clear" w:color="auto" w:fill="FFFFFF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247"/>
      </w:tblGrid>
      <w:tr w:rsidR="0029145C" w:rsidRPr="001E4319" w14:paraId="014256DB" w14:textId="77777777" w:rsidTr="00A639D5">
        <w:trPr>
          <w:jc w:val="center"/>
        </w:trPr>
        <w:tc>
          <w:tcPr>
            <w:tcW w:w="4531" w:type="dxa"/>
          </w:tcPr>
          <w:p w14:paraId="7A8975D0" w14:textId="77777777" w:rsidR="0029145C" w:rsidRPr="001E4319" w:rsidRDefault="0029145C" w:rsidP="00A639D5">
            <w:pPr>
              <w:suppressAutoHyphens w:val="0"/>
              <w:jc w:val="center"/>
              <w:rPr>
                <w:rFonts w:eastAsia="Calibri"/>
                <w:b/>
                <w:bCs/>
                <w:kern w:val="2"/>
                <w:highlight w:val="yellow"/>
                <w:lang w:eastAsia="en-US"/>
              </w:rPr>
            </w:pPr>
            <w:bookmarkStart w:id="4" w:name="_Hlk131067616"/>
            <w:bookmarkEnd w:id="3"/>
            <w:r w:rsidRPr="001E4319">
              <w:rPr>
                <w:rFonts w:eastAsia="Calibri"/>
                <w:b/>
                <w:bCs/>
                <w:kern w:val="2"/>
                <w:highlight w:val="yellow"/>
                <w:lang w:eastAsia="en-US"/>
              </w:rPr>
              <w:t>DESCRIÇÃO OBJETO</w:t>
            </w:r>
          </w:p>
        </w:tc>
        <w:tc>
          <w:tcPr>
            <w:tcW w:w="4247" w:type="dxa"/>
          </w:tcPr>
          <w:p w14:paraId="0679947E" w14:textId="77777777" w:rsidR="0029145C" w:rsidRPr="001E4319" w:rsidRDefault="0029145C" w:rsidP="00A639D5">
            <w:pPr>
              <w:suppressAutoHyphens w:val="0"/>
              <w:jc w:val="center"/>
              <w:rPr>
                <w:rFonts w:eastAsia="Calibri"/>
                <w:b/>
                <w:bCs/>
                <w:kern w:val="2"/>
                <w:highlight w:val="yellow"/>
                <w:lang w:eastAsia="en-US"/>
              </w:rPr>
            </w:pPr>
            <w:r w:rsidRPr="001E4319">
              <w:rPr>
                <w:rFonts w:eastAsia="Calibri"/>
                <w:b/>
                <w:bCs/>
                <w:kern w:val="2"/>
                <w:highlight w:val="yellow"/>
                <w:lang w:eastAsia="en-US"/>
              </w:rPr>
              <w:t>QUANTIDADE MÍNIMA</w:t>
            </w:r>
          </w:p>
        </w:tc>
      </w:tr>
      <w:tr w:rsidR="0029145C" w:rsidRPr="001E4319" w14:paraId="5868FED3" w14:textId="77777777" w:rsidTr="00A639D5">
        <w:trPr>
          <w:jc w:val="center"/>
        </w:trPr>
        <w:tc>
          <w:tcPr>
            <w:tcW w:w="4531" w:type="dxa"/>
          </w:tcPr>
          <w:p w14:paraId="690AC20F" w14:textId="1D774931" w:rsidR="0029145C" w:rsidRPr="001E4319" w:rsidRDefault="0029145C" w:rsidP="00A639D5">
            <w:pPr>
              <w:suppressAutoHyphens w:val="0"/>
              <w:rPr>
                <w:rFonts w:eastAsia="Calibri"/>
                <w:kern w:val="2"/>
                <w:highlight w:val="yellow"/>
                <w:lang w:eastAsia="en-US"/>
              </w:rPr>
            </w:pPr>
            <w:r>
              <w:rPr>
                <w:bCs/>
                <w:highlight w:val="yellow"/>
              </w:rPr>
              <w:t>E</w:t>
            </w:r>
            <w:r w:rsidRPr="0029145C">
              <w:rPr>
                <w:bCs/>
                <w:highlight w:val="yellow"/>
              </w:rPr>
              <w:t>xecução de obra de arte especial ou estrutura de concreto armado de complexidade técnica equivalente</w:t>
            </w:r>
          </w:p>
        </w:tc>
        <w:tc>
          <w:tcPr>
            <w:tcW w:w="4247" w:type="dxa"/>
          </w:tcPr>
          <w:p w14:paraId="5CC3A39F" w14:textId="393B86ED" w:rsidR="0029145C" w:rsidRPr="001E4319" w:rsidRDefault="0029145C" w:rsidP="00A639D5">
            <w:pPr>
              <w:suppressAutoHyphens w:val="0"/>
              <w:jc w:val="center"/>
              <w:rPr>
                <w:rFonts w:eastAsia="Calibri"/>
                <w:kern w:val="2"/>
                <w:highlight w:val="yellow"/>
                <w:lang w:eastAsia="en-US"/>
              </w:rPr>
            </w:pPr>
            <w:r>
              <w:rPr>
                <w:rFonts w:eastAsia="Calibri"/>
                <w:kern w:val="2"/>
                <w:highlight w:val="yellow"/>
                <w:lang w:eastAsia="en-US"/>
              </w:rPr>
              <w:t>1 und</w:t>
            </w:r>
          </w:p>
        </w:tc>
      </w:tr>
      <w:tr w:rsidR="0029145C" w:rsidRPr="001E4319" w14:paraId="1B59DFFB" w14:textId="77777777" w:rsidTr="00A639D5">
        <w:trPr>
          <w:jc w:val="center"/>
        </w:trPr>
        <w:tc>
          <w:tcPr>
            <w:tcW w:w="4531" w:type="dxa"/>
          </w:tcPr>
          <w:p w14:paraId="1243569F" w14:textId="74D6511B" w:rsidR="0029145C" w:rsidRPr="001E4319" w:rsidRDefault="0029145C" w:rsidP="00A639D5">
            <w:pPr>
              <w:suppressAutoHyphens w:val="0"/>
              <w:rPr>
                <w:bCs/>
                <w:highlight w:val="yellow"/>
              </w:rPr>
            </w:pPr>
            <w:r w:rsidRPr="0029145C">
              <w:rPr>
                <w:bCs/>
                <w:highlight w:val="yellow"/>
              </w:rPr>
              <w:t xml:space="preserve">Execução de </w:t>
            </w:r>
            <w:r w:rsidRPr="0029145C">
              <w:rPr>
                <w:b/>
                <w:bCs/>
                <w:highlight w:val="yellow"/>
              </w:rPr>
              <w:t>galeria celular pré-moldada de concreto</w:t>
            </w:r>
            <w:r w:rsidRPr="0029145C">
              <w:rPr>
                <w:bCs/>
                <w:highlight w:val="yellow"/>
              </w:rPr>
              <w:t>, com fornecimento e instalação</w:t>
            </w:r>
          </w:p>
        </w:tc>
        <w:tc>
          <w:tcPr>
            <w:tcW w:w="4247" w:type="dxa"/>
          </w:tcPr>
          <w:p w14:paraId="3C5EC936" w14:textId="487D2E5A" w:rsidR="0029145C" w:rsidRPr="001E4319" w:rsidRDefault="0029145C" w:rsidP="00A639D5">
            <w:pPr>
              <w:suppressAutoHyphens w:val="0"/>
              <w:jc w:val="center"/>
              <w:rPr>
                <w:rFonts w:eastAsia="Calibri"/>
                <w:kern w:val="2"/>
                <w:highlight w:val="yellow"/>
                <w:lang w:eastAsia="en-US"/>
              </w:rPr>
            </w:pPr>
            <w:r>
              <w:rPr>
                <w:rFonts w:eastAsia="Calibri"/>
                <w:kern w:val="2"/>
                <w:highlight w:val="yellow"/>
                <w:lang w:eastAsia="en-US"/>
              </w:rPr>
              <w:t>6 metros lineares</w:t>
            </w:r>
          </w:p>
        </w:tc>
      </w:tr>
      <w:tr w:rsidR="0029145C" w:rsidRPr="001E4319" w14:paraId="3A59DB64" w14:textId="77777777" w:rsidTr="00A639D5">
        <w:trPr>
          <w:jc w:val="center"/>
        </w:trPr>
        <w:tc>
          <w:tcPr>
            <w:tcW w:w="4531" w:type="dxa"/>
          </w:tcPr>
          <w:p w14:paraId="50E8B343" w14:textId="7CF4FE4B" w:rsidR="0029145C" w:rsidRPr="0029145C" w:rsidRDefault="0029145C" w:rsidP="00A639D5">
            <w:pPr>
              <w:suppressAutoHyphens w:val="0"/>
              <w:rPr>
                <w:bCs/>
                <w:highlight w:val="yellow"/>
              </w:rPr>
            </w:pPr>
            <w:r w:rsidRPr="0029145C">
              <w:rPr>
                <w:bCs/>
                <w:highlight w:val="yellow"/>
              </w:rPr>
              <w:t xml:space="preserve">Execução de </w:t>
            </w:r>
            <w:r w:rsidRPr="0029145C">
              <w:rPr>
                <w:b/>
                <w:bCs/>
                <w:highlight w:val="yellow"/>
              </w:rPr>
              <w:t>concreto estrutural com resistência característica mínima de 30 M</w:t>
            </w:r>
            <w:r w:rsidRPr="0029145C">
              <w:rPr>
                <w:b/>
                <w:bCs/>
                <w:highlight w:val="yellow"/>
              </w:rPr>
              <w:t>p</w:t>
            </w:r>
            <w:r w:rsidRPr="0029145C">
              <w:rPr>
                <w:b/>
                <w:bCs/>
                <w:highlight w:val="yellow"/>
              </w:rPr>
              <w:t>a</w:t>
            </w:r>
          </w:p>
        </w:tc>
        <w:tc>
          <w:tcPr>
            <w:tcW w:w="4247" w:type="dxa"/>
          </w:tcPr>
          <w:p w14:paraId="0A31FA3E" w14:textId="10277668" w:rsidR="0029145C" w:rsidRDefault="0029145C" w:rsidP="00A639D5">
            <w:pPr>
              <w:suppressAutoHyphens w:val="0"/>
              <w:jc w:val="center"/>
              <w:rPr>
                <w:rFonts w:eastAsia="Calibri"/>
                <w:kern w:val="2"/>
                <w:highlight w:val="yellow"/>
                <w:lang w:eastAsia="en-US"/>
              </w:rPr>
            </w:pPr>
            <w:r>
              <w:rPr>
                <w:rFonts w:eastAsia="Calibri"/>
                <w:kern w:val="2"/>
                <w:highlight w:val="yellow"/>
                <w:lang w:eastAsia="en-US"/>
              </w:rPr>
              <w:t>17m³</w:t>
            </w:r>
          </w:p>
        </w:tc>
      </w:tr>
    </w:tbl>
    <w:p w14:paraId="62175992" w14:textId="77777777" w:rsidR="0029145C" w:rsidRPr="001E4319" w:rsidRDefault="0029145C" w:rsidP="0029145C">
      <w:pPr>
        <w:tabs>
          <w:tab w:val="left" w:pos="142"/>
        </w:tabs>
        <w:ind w:left="284"/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 b.1) Os atestados apresentados para comprovação da responsabilidade técnica somente serão aceitos como prova de capacitação técnico-profissional se acompanhados da respectiva Certidão de Acervo Técnico (CAT), emitida pelo CREA e/ou CAU, conforme o caso. Não será admitida, para esse fim, a simples apresentação de atestados emitidos por terceiros vinculados a Anotação de Responsabilidade Técnica (ART) ou Registro de Responsabilidade Técnica (RRT), sem a correspondente validação pelo respectivo Conselho de Classe por meio da CAT.</w:t>
      </w:r>
    </w:p>
    <w:p w14:paraId="34D428D5" w14:textId="77777777" w:rsidR="0029145C" w:rsidRPr="001E4319" w:rsidRDefault="0029145C" w:rsidP="0029145C">
      <w:pPr>
        <w:tabs>
          <w:tab w:val="left" w:pos="142"/>
        </w:tabs>
        <w:jc w:val="both"/>
        <w:rPr>
          <w:highlight w:val="yellow"/>
        </w:rPr>
      </w:pPr>
      <w:r w:rsidRPr="001E4319">
        <w:rPr>
          <w:highlight w:val="yellow"/>
        </w:rPr>
        <w:t xml:space="preserve">c) </w:t>
      </w:r>
      <w:r w:rsidRPr="001E4319">
        <w:rPr>
          <w:highlight w:val="yellow"/>
          <w:shd w:val="clear" w:color="auto" w:fill="FFFFFF"/>
        </w:rPr>
        <w:t>Declaração formal da empresa, assinada pelo responsável técnico do licitante, acerca do conhecimento pleno das condições e peculiaridades da contratação</w:t>
      </w:r>
      <w:r w:rsidRPr="001E4319">
        <w:rPr>
          <w:highlight w:val="yellow"/>
        </w:rPr>
        <w:t>.</w:t>
      </w:r>
    </w:p>
    <w:p w14:paraId="4A2F3158" w14:textId="77777777" w:rsidR="0029145C" w:rsidRPr="001E4319" w:rsidRDefault="0029145C" w:rsidP="0029145C">
      <w:pPr>
        <w:tabs>
          <w:tab w:val="left" w:pos="142"/>
        </w:tabs>
        <w:jc w:val="both"/>
        <w:rPr>
          <w:highlight w:val="yellow"/>
        </w:rPr>
      </w:pPr>
    </w:p>
    <w:p w14:paraId="0F84DF21" w14:textId="422478ED" w:rsidR="0029145C" w:rsidRPr="00F77DDC" w:rsidRDefault="0029145C" w:rsidP="0029145C">
      <w:pPr>
        <w:jc w:val="both"/>
        <w:rPr>
          <w:b/>
          <w:bCs/>
          <w:highlight w:val="yellow"/>
        </w:rPr>
      </w:pPr>
      <w:r w:rsidRPr="00F77DDC">
        <w:rPr>
          <w:b/>
          <w:bCs/>
          <w:highlight w:val="yellow"/>
        </w:rPr>
        <w:t>Capacidade Técnica Profissional:</w:t>
      </w:r>
    </w:p>
    <w:p w14:paraId="7770A683" w14:textId="77777777" w:rsidR="0029145C" w:rsidRPr="001E4319" w:rsidRDefault="0029145C" w:rsidP="0029145C">
      <w:pPr>
        <w:tabs>
          <w:tab w:val="left" w:pos="142"/>
        </w:tabs>
        <w:jc w:val="both"/>
        <w:rPr>
          <w:highlight w:val="yellow"/>
        </w:rPr>
      </w:pPr>
      <w:r w:rsidRPr="001E4319">
        <w:rPr>
          <w:highlight w:val="yellow"/>
        </w:rPr>
        <w:t>a) declaração de responsabilidade técnica, indicando o responsável técnico pela execução da obra (</w:t>
      </w:r>
      <w:r w:rsidRPr="001E4319">
        <w:rPr>
          <w:iCs/>
          <w:highlight w:val="yellow"/>
        </w:rPr>
        <w:t>Anexo IX</w:t>
      </w:r>
      <w:r w:rsidRPr="001E4319">
        <w:rPr>
          <w:highlight w:val="yellow"/>
        </w:rPr>
        <w:t>) até o seu recebimento definitivo pelo licitador;</w:t>
      </w:r>
    </w:p>
    <w:p w14:paraId="37B0F244" w14:textId="77777777" w:rsidR="0029145C" w:rsidRPr="001E4319" w:rsidRDefault="0029145C" w:rsidP="0029145C">
      <w:pPr>
        <w:tabs>
          <w:tab w:val="left" w:pos="142"/>
        </w:tabs>
        <w:ind w:left="284"/>
        <w:jc w:val="both"/>
        <w:rPr>
          <w:highlight w:val="yellow"/>
        </w:rPr>
      </w:pPr>
      <w:r w:rsidRPr="001E4319">
        <w:rPr>
          <w:highlight w:val="yellow"/>
        </w:rPr>
        <w:t>a.1) O responsável indicado, para fins de comprovação da capacitação, deverá participar da obra objeto da licitação.</w:t>
      </w:r>
    </w:p>
    <w:p w14:paraId="1A4AEC27" w14:textId="77777777" w:rsidR="0029145C" w:rsidRPr="001E4319" w:rsidRDefault="0029145C" w:rsidP="0029145C">
      <w:pPr>
        <w:tabs>
          <w:tab w:val="left" w:pos="142"/>
        </w:tabs>
        <w:jc w:val="both"/>
        <w:rPr>
          <w:highlight w:val="yellow"/>
        </w:rPr>
      </w:pPr>
      <w:r w:rsidRPr="001E4319">
        <w:rPr>
          <w:highlight w:val="yellow"/>
        </w:rPr>
        <w:t>b) a declaração de responsabilidade técnica deverá ser acompanhada de “Certificado de Acervo Técnico Profissional – CAT” do</w:t>
      </w:r>
      <w:r w:rsidRPr="001E4319">
        <w:rPr>
          <w:i/>
          <w:iCs/>
          <w:highlight w:val="yellow"/>
        </w:rPr>
        <w:t>(s</w:t>
      </w:r>
      <w:r w:rsidRPr="001E4319">
        <w:rPr>
          <w:highlight w:val="yellow"/>
        </w:rPr>
        <w:t>) responsável (</w:t>
      </w:r>
      <w:r w:rsidRPr="001E4319">
        <w:rPr>
          <w:i/>
          <w:highlight w:val="yellow"/>
        </w:rPr>
        <w:t>ei</w:t>
      </w:r>
      <w:r w:rsidRPr="001E4319">
        <w:rPr>
          <w:highlight w:val="yellow"/>
        </w:rPr>
        <w:t>s) técnico (</w:t>
      </w:r>
      <w:r w:rsidRPr="001E4319">
        <w:rPr>
          <w:i/>
          <w:highlight w:val="yellow"/>
        </w:rPr>
        <w:t>s</w:t>
      </w:r>
      <w:r w:rsidRPr="001E4319">
        <w:rPr>
          <w:highlight w:val="yellow"/>
        </w:rPr>
        <w:t>) indicado (</w:t>
      </w:r>
      <w:r w:rsidRPr="001E4319">
        <w:rPr>
          <w:i/>
          <w:highlight w:val="yellow"/>
        </w:rPr>
        <w:t>s</w:t>
      </w:r>
      <w:r w:rsidRPr="001E4319">
        <w:rPr>
          <w:highlight w:val="yellow"/>
        </w:rPr>
        <w:t>), emitido (</w:t>
      </w:r>
      <w:r w:rsidRPr="001E4319">
        <w:rPr>
          <w:i/>
          <w:highlight w:val="yellow"/>
        </w:rPr>
        <w:t>s</w:t>
      </w:r>
      <w:r w:rsidRPr="001E4319">
        <w:rPr>
          <w:highlight w:val="yellow"/>
        </w:rPr>
        <w:t>) pelo “Conselho Regional de Engenharia e Agronomia – CREA e/ou Conselho de Arquitetura e Urbanismo – CAU”, de execução de, no mínimo, uma obra de semelhante complexidade tecnológica e operacional equivalente ou superior à solicitada no objeto da presente contratação;</w:t>
      </w:r>
    </w:p>
    <w:p w14:paraId="475258A7" w14:textId="77777777" w:rsidR="0029145C" w:rsidRPr="001E4319" w:rsidRDefault="0029145C" w:rsidP="0029145C">
      <w:pPr>
        <w:tabs>
          <w:tab w:val="left" w:pos="142"/>
        </w:tabs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>c) A</w:t>
      </w:r>
      <w:r w:rsidRPr="001E4319">
        <w:rPr>
          <w:highlight w:val="yellow"/>
          <w:shd w:val="clear" w:color="auto" w:fill="FFFFFF"/>
        </w:rPr>
        <w:t xml:space="preserve"> comprovação de pertencer ao quadro permanente da empresa deverá ser feita mediante uma das seguintes formas:</w:t>
      </w:r>
    </w:p>
    <w:p w14:paraId="3D1FD942" w14:textId="77777777" w:rsidR="0029145C" w:rsidRPr="001E4319" w:rsidRDefault="0029145C" w:rsidP="0029145C">
      <w:pPr>
        <w:tabs>
          <w:tab w:val="left" w:pos="142"/>
        </w:tabs>
        <w:ind w:left="851" w:hanging="284"/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c.1) </w:t>
      </w:r>
      <w:r w:rsidRPr="001E4319">
        <w:rPr>
          <w:highlight w:val="yellow"/>
          <w:shd w:val="clear" w:color="auto" w:fill="FFFFFF"/>
        </w:rPr>
        <w:t>Carteira de Trabalho;</w:t>
      </w:r>
    </w:p>
    <w:p w14:paraId="09DE839C" w14:textId="77777777" w:rsidR="0029145C" w:rsidRPr="001E4319" w:rsidRDefault="0029145C" w:rsidP="0029145C">
      <w:pPr>
        <w:tabs>
          <w:tab w:val="left" w:pos="142"/>
        </w:tabs>
        <w:ind w:left="851" w:hanging="284"/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c.2) </w:t>
      </w:r>
      <w:r w:rsidRPr="001E4319">
        <w:rPr>
          <w:highlight w:val="yellow"/>
          <w:shd w:val="clear" w:color="auto" w:fill="FFFFFF"/>
        </w:rPr>
        <w:t>Certidão do CREA;</w:t>
      </w:r>
    </w:p>
    <w:p w14:paraId="386BA7DA" w14:textId="77777777" w:rsidR="0029145C" w:rsidRPr="001E4319" w:rsidRDefault="0029145C" w:rsidP="0029145C">
      <w:pPr>
        <w:tabs>
          <w:tab w:val="left" w:pos="142"/>
        </w:tabs>
        <w:ind w:left="851" w:hanging="284"/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c.3) </w:t>
      </w:r>
      <w:r w:rsidRPr="001E4319">
        <w:rPr>
          <w:highlight w:val="yellow"/>
          <w:shd w:val="clear" w:color="auto" w:fill="FFFFFF"/>
        </w:rPr>
        <w:t>Certidão do CAU;</w:t>
      </w:r>
    </w:p>
    <w:p w14:paraId="1513282B" w14:textId="77777777" w:rsidR="0029145C" w:rsidRPr="001E4319" w:rsidRDefault="0029145C" w:rsidP="0029145C">
      <w:pPr>
        <w:tabs>
          <w:tab w:val="left" w:pos="142"/>
        </w:tabs>
        <w:ind w:left="851" w:hanging="284"/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c.4) </w:t>
      </w:r>
      <w:r w:rsidRPr="001E4319">
        <w:rPr>
          <w:highlight w:val="yellow"/>
          <w:shd w:val="clear" w:color="auto" w:fill="FFFFFF"/>
        </w:rPr>
        <w:t>Contrato Social;</w:t>
      </w:r>
    </w:p>
    <w:p w14:paraId="1AF8C886" w14:textId="77777777" w:rsidR="0029145C" w:rsidRPr="001E4319" w:rsidRDefault="0029145C" w:rsidP="0029145C">
      <w:pPr>
        <w:tabs>
          <w:tab w:val="left" w:pos="142"/>
        </w:tabs>
        <w:ind w:left="851" w:hanging="284"/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c.5) </w:t>
      </w:r>
      <w:r w:rsidRPr="001E4319">
        <w:rPr>
          <w:highlight w:val="yellow"/>
          <w:shd w:val="clear" w:color="auto" w:fill="FFFFFF"/>
        </w:rPr>
        <w:t>Contrato de prestação de serviços;</w:t>
      </w:r>
    </w:p>
    <w:p w14:paraId="55317A6B" w14:textId="77777777" w:rsidR="0029145C" w:rsidRPr="001E4319" w:rsidRDefault="0029145C" w:rsidP="0029145C">
      <w:pPr>
        <w:tabs>
          <w:tab w:val="left" w:pos="142"/>
        </w:tabs>
        <w:ind w:left="851" w:hanging="284"/>
        <w:jc w:val="both"/>
        <w:rPr>
          <w:highlight w:val="yellow"/>
          <w:shd w:val="clear" w:color="auto" w:fill="FFFFFF"/>
        </w:rPr>
      </w:pPr>
      <w:r w:rsidRPr="001E4319">
        <w:rPr>
          <w:highlight w:val="yellow"/>
        </w:rPr>
        <w:t xml:space="preserve">c.6) </w:t>
      </w:r>
      <w:r w:rsidRPr="001E4319">
        <w:rPr>
          <w:highlight w:val="yellow"/>
          <w:shd w:val="clear" w:color="auto" w:fill="FFFFFF"/>
        </w:rPr>
        <w:t>Contrato de Trabalho registrado na DRT;</w:t>
      </w:r>
    </w:p>
    <w:p w14:paraId="66324E7C" w14:textId="77777777" w:rsidR="0029145C" w:rsidRPr="001E4319" w:rsidRDefault="0029145C" w:rsidP="0029145C">
      <w:pPr>
        <w:tabs>
          <w:tab w:val="left" w:pos="142"/>
          <w:tab w:val="left" w:pos="5103"/>
        </w:tabs>
        <w:jc w:val="both"/>
        <w:rPr>
          <w:highlight w:val="yellow"/>
        </w:rPr>
      </w:pPr>
      <w:r w:rsidRPr="001E4319">
        <w:rPr>
          <w:highlight w:val="yellow"/>
        </w:rPr>
        <w:t>d) relação de disponibilidade de veículos, máquinas e equipamentos a serem disponibilizados para a execução da (</w:t>
      </w:r>
      <w:r w:rsidRPr="001E4319">
        <w:rPr>
          <w:i/>
          <w:highlight w:val="yellow"/>
        </w:rPr>
        <w:t>s</w:t>
      </w:r>
      <w:r w:rsidRPr="001E4319">
        <w:rPr>
          <w:highlight w:val="yellow"/>
        </w:rPr>
        <w:t>) obra (s), conforme análise do projeto, constando o nome, n. º do RG, assinatura do responsável legal e nome, número do registro no CREA/CAU e assinatura do responsável técnico indicado, com declaração expressa de sua disponibilidade durante a execução, sob pena de inabilitação (ANEXO XIV);</w:t>
      </w:r>
    </w:p>
    <w:p w14:paraId="32F9CF4D" w14:textId="77777777" w:rsidR="0029145C" w:rsidRDefault="0029145C" w:rsidP="0029145C">
      <w:pPr>
        <w:tabs>
          <w:tab w:val="left" w:pos="142"/>
        </w:tabs>
        <w:jc w:val="both"/>
        <w:rPr>
          <w:highlight w:val="yellow"/>
        </w:rPr>
      </w:pPr>
      <w:r w:rsidRPr="001E4319">
        <w:rPr>
          <w:highlight w:val="yellow"/>
        </w:rPr>
        <w:t>e) cronograma de utilização de veículos, máquinas e equipamentos (ANEXO XV), devidamente preenchido, com base na relação de disponibilidade do item anterior, constando nome, n. º RG e assinatura do responsável legal pela empresa; e nome, número do registro no CREA/CAU e assinatura do responsável técnico indicado;</w:t>
      </w:r>
    </w:p>
    <w:p w14:paraId="78B2B1BA" w14:textId="77777777" w:rsidR="00F77DDC" w:rsidRDefault="0029145C" w:rsidP="0029145C">
      <w:pPr>
        <w:tabs>
          <w:tab w:val="left" w:pos="142"/>
        </w:tabs>
        <w:jc w:val="both"/>
        <w:rPr>
          <w:highlight w:val="yellow"/>
        </w:rPr>
      </w:pPr>
      <w:r w:rsidRPr="00D72884">
        <w:rPr>
          <w:highlight w:val="yellow"/>
        </w:rPr>
        <w:t xml:space="preserve">f) </w:t>
      </w:r>
      <w:r w:rsidRPr="0029145C">
        <w:rPr>
          <w:highlight w:val="yellow"/>
        </w:rPr>
        <w:t xml:space="preserve">A licitante deverá comprovar experiência anterior na execução de </w:t>
      </w:r>
      <w:r w:rsidRPr="0029145C">
        <w:rPr>
          <w:b/>
          <w:bCs/>
          <w:highlight w:val="yellow"/>
        </w:rPr>
        <w:t>serviços de estabilização e travamento estrutural</w:t>
      </w:r>
      <w:r w:rsidRPr="0029145C">
        <w:rPr>
          <w:highlight w:val="yellow"/>
        </w:rPr>
        <w:t xml:space="preserve">, mediante apresentação de atestado(s) de capacidade técnica </w:t>
      </w:r>
      <w:r w:rsidRPr="0029145C">
        <w:rPr>
          <w:highlight w:val="yellow"/>
        </w:rPr>
        <w:lastRenderedPageBreak/>
        <w:t>emitido(s) por pessoa jurídica de direito público ou privado, devidamente registrados no CREA/CAU.</w:t>
      </w:r>
      <w:r w:rsidR="00F77DDC">
        <w:rPr>
          <w:highlight w:val="yellow"/>
        </w:rPr>
        <w:t xml:space="preserve"> </w:t>
      </w:r>
    </w:p>
    <w:p w14:paraId="4D2FE6BF" w14:textId="085BB5DB" w:rsidR="0029145C" w:rsidRPr="0029145C" w:rsidRDefault="00F77DDC" w:rsidP="0029145C">
      <w:pPr>
        <w:tabs>
          <w:tab w:val="left" w:pos="142"/>
        </w:tabs>
        <w:jc w:val="both"/>
        <w:rPr>
          <w:highlight w:val="yellow"/>
        </w:rPr>
      </w:pPr>
      <w:r>
        <w:rPr>
          <w:highlight w:val="yellow"/>
        </w:rPr>
        <w:t xml:space="preserve">f.1) </w:t>
      </w:r>
      <w:r w:rsidR="0029145C" w:rsidRPr="0029145C">
        <w:rPr>
          <w:highlight w:val="yellow"/>
        </w:rPr>
        <w:t xml:space="preserve">O(s) atestado(s) deverá(ão) comprovar a execução de </w:t>
      </w:r>
      <w:r w:rsidR="0029145C" w:rsidRPr="0029145C">
        <w:rPr>
          <w:b/>
          <w:bCs/>
          <w:highlight w:val="yellow"/>
        </w:rPr>
        <w:t>travamento estrutural por meio de tirantes ativos ou passivos de alta resistência</w:t>
      </w:r>
      <w:r w:rsidR="0029145C" w:rsidRPr="0029145C">
        <w:rPr>
          <w:highlight w:val="yellow"/>
        </w:rPr>
        <w:t xml:space="preserve">, utilizados em obras de contenção, fundações especiais, obras de arte especiais ou estruturas similares, </w:t>
      </w:r>
      <w:r w:rsidR="0029145C" w:rsidRPr="0029145C">
        <w:rPr>
          <w:b/>
          <w:bCs/>
          <w:highlight w:val="yellow"/>
        </w:rPr>
        <w:t>com desempenho estrutural compatível</w:t>
      </w:r>
      <w:r w:rsidR="0029145C" w:rsidRPr="0029145C">
        <w:rPr>
          <w:highlight w:val="yellow"/>
        </w:rPr>
        <w:t xml:space="preserve"> ao previsto no projeto.</w:t>
      </w:r>
    </w:p>
    <w:p w14:paraId="41B3FB03" w14:textId="703B77C7" w:rsidR="0029145C" w:rsidRPr="0029145C" w:rsidRDefault="00F77DDC" w:rsidP="0029145C">
      <w:pPr>
        <w:tabs>
          <w:tab w:val="left" w:pos="142"/>
        </w:tabs>
        <w:jc w:val="both"/>
        <w:rPr>
          <w:highlight w:val="yellow"/>
        </w:rPr>
      </w:pPr>
      <w:r>
        <w:rPr>
          <w:highlight w:val="yellow"/>
        </w:rPr>
        <w:t xml:space="preserve">f.2) </w:t>
      </w:r>
      <w:r w:rsidR="0029145C" w:rsidRPr="0029145C">
        <w:rPr>
          <w:highlight w:val="yellow"/>
        </w:rPr>
        <w:t>Para fins de comprovação da compatibilidade técnica, serão aceitos sistemas de tirantes que atendam, no mínimo, aos seguintes parâmetros:</w:t>
      </w:r>
    </w:p>
    <w:p w14:paraId="30B182D3" w14:textId="77777777" w:rsidR="0029145C" w:rsidRPr="0029145C" w:rsidRDefault="0029145C" w:rsidP="00F77DDC">
      <w:pPr>
        <w:tabs>
          <w:tab w:val="left" w:pos="142"/>
        </w:tabs>
        <w:ind w:left="1134"/>
        <w:jc w:val="both"/>
        <w:rPr>
          <w:highlight w:val="yellow"/>
        </w:rPr>
      </w:pPr>
      <w:r w:rsidRPr="0029145C">
        <w:rPr>
          <w:highlight w:val="yellow"/>
        </w:rPr>
        <w:t xml:space="preserve">a) </w:t>
      </w:r>
      <w:r w:rsidRPr="0029145C">
        <w:rPr>
          <w:b/>
          <w:bCs/>
          <w:highlight w:val="yellow"/>
        </w:rPr>
        <w:t>Aço de alta resistência</w:t>
      </w:r>
      <w:r w:rsidRPr="0029145C">
        <w:rPr>
          <w:highlight w:val="yellow"/>
        </w:rPr>
        <w:t xml:space="preserve">, com limite de escoamento e resistência à ruptura compatíveis com sistemas equivalentes ao padrão </w:t>
      </w:r>
      <w:r w:rsidRPr="0029145C">
        <w:rPr>
          <w:b/>
          <w:bCs/>
          <w:highlight w:val="yellow"/>
        </w:rPr>
        <w:t>GW 520/690</w:t>
      </w:r>
      <w:r w:rsidRPr="0029145C">
        <w:rPr>
          <w:highlight w:val="yellow"/>
        </w:rPr>
        <w:t>;</w:t>
      </w:r>
    </w:p>
    <w:p w14:paraId="24F49F3D" w14:textId="77777777" w:rsidR="0029145C" w:rsidRPr="0029145C" w:rsidRDefault="0029145C" w:rsidP="00F77DDC">
      <w:pPr>
        <w:tabs>
          <w:tab w:val="left" w:pos="142"/>
        </w:tabs>
        <w:ind w:left="1134"/>
        <w:jc w:val="both"/>
        <w:rPr>
          <w:highlight w:val="yellow"/>
        </w:rPr>
      </w:pPr>
      <w:r w:rsidRPr="0029145C">
        <w:rPr>
          <w:highlight w:val="yellow"/>
        </w:rPr>
        <w:t xml:space="preserve">b) Capacidade de </w:t>
      </w:r>
      <w:r w:rsidRPr="0029145C">
        <w:rPr>
          <w:b/>
          <w:bCs/>
          <w:highlight w:val="yellow"/>
        </w:rPr>
        <w:t>protensão ou travamento estrutural</w:t>
      </w:r>
      <w:r w:rsidRPr="0029145C">
        <w:rPr>
          <w:highlight w:val="yellow"/>
        </w:rPr>
        <w:t>, com ancoragem ativa ou passiva;</w:t>
      </w:r>
    </w:p>
    <w:p w14:paraId="578D9EAE" w14:textId="77777777" w:rsidR="0029145C" w:rsidRPr="0029145C" w:rsidRDefault="0029145C" w:rsidP="00F77DDC">
      <w:pPr>
        <w:tabs>
          <w:tab w:val="left" w:pos="142"/>
        </w:tabs>
        <w:ind w:left="1134"/>
        <w:jc w:val="both"/>
        <w:rPr>
          <w:highlight w:val="yellow"/>
        </w:rPr>
      </w:pPr>
      <w:r w:rsidRPr="0029145C">
        <w:rPr>
          <w:highlight w:val="yellow"/>
        </w:rPr>
        <w:t xml:space="preserve">c) Aplicação em </w:t>
      </w:r>
      <w:r w:rsidRPr="0029145C">
        <w:rPr>
          <w:b/>
          <w:bCs/>
          <w:highlight w:val="yellow"/>
        </w:rPr>
        <w:t>obra estrutural</w:t>
      </w:r>
      <w:r w:rsidRPr="0029145C">
        <w:rPr>
          <w:highlight w:val="yellow"/>
        </w:rPr>
        <w:t>, com função de contenção, estabilização ou travamento;</w:t>
      </w:r>
    </w:p>
    <w:p w14:paraId="6F0D69E7" w14:textId="77777777" w:rsidR="0029145C" w:rsidRPr="0029145C" w:rsidRDefault="0029145C" w:rsidP="00F77DDC">
      <w:pPr>
        <w:tabs>
          <w:tab w:val="left" w:pos="142"/>
        </w:tabs>
        <w:ind w:left="1134"/>
        <w:jc w:val="both"/>
        <w:rPr>
          <w:highlight w:val="yellow"/>
        </w:rPr>
      </w:pPr>
      <w:r w:rsidRPr="0029145C">
        <w:rPr>
          <w:highlight w:val="yellow"/>
        </w:rPr>
        <w:t xml:space="preserve">d) Execução acompanhada de </w:t>
      </w:r>
      <w:r w:rsidRPr="0029145C">
        <w:rPr>
          <w:b/>
          <w:bCs/>
          <w:highlight w:val="yellow"/>
        </w:rPr>
        <w:t>projeto estrutural e memorial de cálculo</w:t>
      </w:r>
      <w:r w:rsidRPr="0029145C">
        <w:rPr>
          <w:highlight w:val="yellow"/>
        </w:rPr>
        <w:t>.</w:t>
      </w:r>
    </w:p>
    <w:p w14:paraId="70A4A3F3" w14:textId="1F6AAC16" w:rsidR="0029145C" w:rsidRPr="0029145C" w:rsidRDefault="00F77DDC" w:rsidP="0029145C">
      <w:pPr>
        <w:tabs>
          <w:tab w:val="left" w:pos="142"/>
        </w:tabs>
        <w:jc w:val="both"/>
        <w:rPr>
          <w:highlight w:val="yellow"/>
        </w:rPr>
      </w:pPr>
      <w:r>
        <w:rPr>
          <w:highlight w:val="yellow"/>
        </w:rPr>
        <w:t xml:space="preserve">f.3) </w:t>
      </w:r>
      <w:r w:rsidR="0029145C" w:rsidRPr="0029145C">
        <w:rPr>
          <w:highlight w:val="yellow"/>
        </w:rPr>
        <w:t xml:space="preserve">Será admitida a comprovação por </w:t>
      </w:r>
      <w:r w:rsidR="0029145C" w:rsidRPr="0029145C">
        <w:rPr>
          <w:b/>
          <w:bCs/>
          <w:highlight w:val="yellow"/>
        </w:rPr>
        <w:t>sistema tecnicamente equivalente</w:t>
      </w:r>
      <w:r w:rsidR="0029145C" w:rsidRPr="0029145C">
        <w:rPr>
          <w:highlight w:val="yellow"/>
        </w:rPr>
        <w:t>, desde que demonstrada, por meio de documentação técnica, a equivalência funcional, estrutural e de desempenho ao sistema previsto no projeto.</w:t>
      </w:r>
    </w:p>
    <w:p w14:paraId="34929829" w14:textId="74A4076C" w:rsidR="0029145C" w:rsidRDefault="00F77DDC" w:rsidP="0029145C">
      <w:pPr>
        <w:tabs>
          <w:tab w:val="left" w:pos="142"/>
        </w:tabs>
        <w:jc w:val="both"/>
        <w:rPr>
          <w:highlight w:val="yellow"/>
        </w:rPr>
      </w:pPr>
      <w:r>
        <w:rPr>
          <w:highlight w:val="yellow"/>
        </w:rPr>
        <w:t xml:space="preserve">f.4) </w:t>
      </w:r>
      <w:r w:rsidR="0029145C" w:rsidRPr="0029145C">
        <w:rPr>
          <w:highlight w:val="yellow"/>
        </w:rPr>
        <w:t>A comprovação da equivalência técnica poderá ser feita mediante apresentação de ficha técnica, memorial descritivo, memorial de cálculo ou outro documento que evidencie a compatibilidade estrutural do sistema executado com o sistema previsto no projet</w:t>
      </w:r>
      <w:r w:rsidR="0029145C">
        <w:rPr>
          <w:highlight w:val="yellow"/>
        </w:rPr>
        <w:t>o</w:t>
      </w:r>
      <w:r w:rsidR="0029145C" w:rsidRPr="00D72884">
        <w:rPr>
          <w:highlight w:val="yellow"/>
        </w:rPr>
        <w:t>.</w:t>
      </w:r>
    </w:p>
    <w:p w14:paraId="1541C4D8" w14:textId="77777777" w:rsidR="0029145C" w:rsidRPr="0029145C" w:rsidRDefault="0029145C" w:rsidP="0029145C">
      <w:pPr>
        <w:tabs>
          <w:tab w:val="left" w:pos="142"/>
        </w:tabs>
        <w:jc w:val="both"/>
        <w:rPr>
          <w:highlight w:val="yellow"/>
        </w:rPr>
      </w:pPr>
    </w:p>
    <w:p w14:paraId="76E438E7" w14:textId="53BDAB00" w:rsidR="0029145C" w:rsidRPr="001E4319" w:rsidRDefault="0029145C" w:rsidP="0029145C">
      <w:pPr>
        <w:jc w:val="both"/>
        <w:rPr>
          <w:highlight w:val="yellow"/>
        </w:rPr>
      </w:pPr>
      <w:r w:rsidRPr="001E4319">
        <w:rPr>
          <w:highlight w:val="yellow"/>
        </w:rPr>
        <w:t xml:space="preserve">É vedada, sob pena de inabilitação, a indicação de um mesmo responsável técnico, ou utilização de seu acervo técnico, por mais de uma proponente. </w:t>
      </w:r>
    </w:p>
    <w:p w14:paraId="2C67F838" w14:textId="2E560714" w:rsidR="0029145C" w:rsidRDefault="0029145C" w:rsidP="0029145C">
      <w:pPr>
        <w:jc w:val="both"/>
      </w:pPr>
      <w:r w:rsidRPr="001E4319">
        <w:rPr>
          <w:highlight w:val="yellow"/>
        </w:rPr>
        <w:t>O responsável técnico só poderá ser substituído, se atendidos os critérios exigidos nesse Edital, e desde que com expressa autorização do Município, com posterior comunicação à SEIL – Secretaria de Estado da Infraestrutura e Logística, quando exigido pelo instrumento de repasse.</w:t>
      </w:r>
    </w:p>
    <w:p w14:paraId="2BAA5164" w14:textId="77777777" w:rsidR="0029145C" w:rsidRPr="005D0BC5" w:rsidRDefault="0029145C" w:rsidP="0029145C">
      <w:pPr>
        <w:jc w:val="both"/>
      </w:pPr>
    </w:p>
    <w:bookmarkEnd w:id="4"/>
    <w:p w14:paraId="28AF6D97" w14:textId="2B51A0C1" w:rsidR="00D8316E" w:rsidRPr="00F77DDC" w:rsidRDefault="00D8316E" w:rsidP="00E93CC2">
      <w:pPr>
        <w:pStyle w:val="Nivel2"/>
        <w:numPr>
          <w:ilvl w:val="2"/>
          <w:numId w:val="2"/>
        </w:numPr>
        <w:shd w:val="clear" w:color="auto" w:fill="D0CECE" w:themeFill="background2" w:themeFillShade="E6"/>
        <w:autoSpaceDN/>
        <w:spacing w:before="0" w:after="0" w:line="240" w:lineRule="auto"/>
        <w:ind w:left="709"/>
        <w:textAlignment w:val="auto"/>
        <w:rPr>
          <w:bCs/>
          <w:sz w:val="22"/>
          <w:szCs w:val="22"/>
        </w:rPr>
      </w:pPr>
      <w:r w:rsidRPr="00F77DDC">
        <w:rPr>
          <w:rFonts w:eastAsiaTheme="minorHAnsi"/>
          <w:b/>
          <w:bCs/>
          <w:kern w:val="0"/>
          <w:sz w:val="22"/>
          <w:szCs w:val="22"/>
          <w:lang w:eastAsia="en-US" w:bidi="ar-SA"/>
        </w:rPr>
        <w:t>MICROEMPRESA E EMPRESAS DE PEQUENO PORTE</w:t>
      </w:r>
    </w:p>
    <w:p w14:paraId="6D0C0D53" w14:textId="77777777" w:rsidR="00D8316E" w:rsidRPr="00260BE2" w:rsidRDefault="00D8316E" w:rsidP="00D8316E">
      <w:pPr>
        <w:pStyle w:val="Nivel2"/>
        <w:autoSpaceDN/>
        <w:spacing w:before="0" w:after="0" w:line="240" w:lineRule="auto"/>
        <w:ind w:left="1440"/>
        <w:textAlignment w:val="auto"/>
        <w:rPr>
          <w:bCs/>
          <w:color w:val="auto"/>
          <w:sz w:val="22"/>
          <w:szCs w:val="22"/>
        </w:rPr>
      </w:pPr>
    </w:p>
    <w:p w14:paraId="02681055" w14:textId="77777777" w:rsidR="00C5253F" w:rsidRPr="00260BE2" w:rsidRDefault="00C5253F" w:rsidP="00D8316E">
      <w:pPr>
        <w:pStyle w:val="Nivel2"/>
        <w:numPr>
          <w:ilvl w:val="2"/>
          <w:numId w:val="2"/>
        </w:numPr>
        <w:autoSpaceDN/>
        <w:spacing w:before="0" w:after="0" w:line="240" w:lineRule="auto"/>
        <w:textAlignment w:val="auto"/>
        <w:rPr>
          <w:bCs/>
          <w:color w:val="auto"/>
          <w:sz w:val="22"/>
          <w:szCs w:val="22"/>
        </w:rPr>
      </w:pPr>
      <w:r w:rsidRPr="00260BE2">
        <w:rPr>
          <w:rFonts w:eastAsiaTheme="minorHAnsi"/>
          <w:kern w:val="0"/>
          <w:sz w:val="22"/>
          <w:szCs w:val="22"/>
          <w:lang w:eastAsia="en-US" w:bidi="ar-SA"/>
        </w:rPr>
        <w:t xml:space="preserve">Para comprovação de enquadramento de empresa ME ou EPP, beneficiária da Lei Complementar nº 123/2006 e suas alterações, a empresa deverá apresentar </w:t>
      </w:r>
      <w:r w:rsidRPr="00260BE2">
        <w:rPr>
          <w:rFonts w:eastAsiaTheme="minorHAnsi"/>
          <w:b/>
          <w:bCs/>
          <w:kern w:val="0"/>
          <w:sz w:val="22"/>
          <w:szCs w:val="22"/>
          <w:lang w:eastAsia="en-US" w:bidi="ar-SA"/>
        </w:rPr>
        <w:t xml:space="preserve">declaração firmada pelo representante legal da empresa ou por </w:t>
      </w:r>
      <w:r w:rsidRPr="00260BE2">
        <w:rPr>
          <w:rFonts w:eastAsiaTheme="minorHAnsi"/>
          <w:b/>
          <w:bCs/>
          <w:color w:val="auto"/>
          <w:kern w:val="0"/>
          <w:sz w:val="22"/>
          <w:szCs w:val="22"/>
          <w:lang w:eastAsia="en-US" w:bidi="ar-SA"/>
        </w:rPr>
        <w:t xml:space="preserve">contador ou </w:t>
      </w:r>
      <w:r w:rsidRPr="00260BE2">
        <w:rPr>
          <w:rFonts w:eastAsiaTheme="minorHAnsi"/>
          <w:b/>
          <w:bCs/>
          <w:kern w:val="0"/>
          <w:sz w:val="22"/>
          <w:szCs w:val="22"/>
          <w:lang w:eastAsia="en-US" w:bidi="ar-SA"/>
        </w:rPr>
        <w:t>certidão simplificada</w:t>
      </w:r>
      <w:r w:rsidRPr="00260BE2">
        <w:rPr>
          <w:rFonts w:eastAsiaTheme="minorHAnsi"/>
          <w:kern w:val="0"/>
          <w:sz w:val="22"/>
          <w:szCs w:val="22"/>
          <w:lang w:eastAsia="en-US" w:bidi="ar-SA"/>
        </w:rPr>
        <w:t>,</w:t>
      </w:r>
      <w:r w:rsidR="00D8316E" w:rsidRPr="00260BE2">
        <w:rPr>
          <w:rFonts w:eastAsiaTheme="minorHAnsi"/>
          <w:kern w:val="0"/>
          <w:sz w:val="22"/>
          <w:szCs w:val="22"/>
          <w:lang w:eastAsia="en-US" w:bidi="ar-SA"/>
        </w:rPr>
        <w:t xml:space="preserve"> </w:t>
      </w:r>
      <w:r w:rsidRPr="00260BE2">
        <w:rPr>
          <w:rFonts w:eastAsiaTheme="minorHAnsi"/>
          <w:kern w:val="0"/>
          <w:sz w:val="22"/>
          <w:szCs w:val="22"/>
          <w:lang w:eastAsia="en-US" w:bidi="ar-SA"/>
        </w:rPr>
        <w:t>expedida pela Junta Comercial, com prazo de validade de até 120 (cento e vinte) dias a</w:t>
      </w:r>
      <w:r w:rsidR="00D8316E" w:rsidRPr="00260BE2">
        <w:rPr>
          <w:bCs/>
          <w:color w:val="auto"/>
          <w:sz w:val="22"/>
          <w:szCs w:val="22"/>
        </w:rPr>
        <w:t xml:space="preserve"> </w:t>
      </w:r>
      <w:r w:rsidRPr="00260BE2">
        <w:rPr>
          <w:rFonts w:eastAsiaTheme="minorHAnsi"/>
          <w:kern w:val="0"/>
          <w:sz w:val="22"/>
          <w:szCs w:val="22"/>
          <w:lang w:eastAsia="en-US" w:bidi="ar-SA"/>
        </w:rPr>
        <w:t>contar da data de emissão</w:t>
      </w:r>
      <w:bookmarkEnd w:id="1"/>
      <w:r w:rsidRPr="00260BE2">
        <w:rPr>
          <w:rFonts w:eastAsiaTheme="minorHAnsi"/>
          <w:i/>
          <w:iCs/>
          <w:kern w:val="0"/>
          <w:sz w:val="22"/>
          <w:szCs w:val="22"/>
          <w:lang w:eastAsia="en-US" w:bidi="ar-SA"/>
        </w:rPr>
        <w:t>.</w:t>
      </w:r>
    </w:p>
    <w:p w14:paraId="6D4744FF" w14:textId="77777777" w:rsidR="00191809" w:rsidRPr="00260BE2" w:rsidRDefault="00191809" w:rsidP="00191809">
      <w:pPr>
        <w:pStyle w:val="Nivel2"/>
        <w:autoSpaceDN/>
        <w:spacing w:before="0" w:after="0" w:line="240" w:lineRule="auto"/>
        <w:ind w:left="2160"/>
        <w:textAlignment w:val="auto"/>
        <w:rPr>
          <w:bCs/>
          <w:color w:val="auto"/>
          <w:sz w:val="22"/>
          <w:szCs w:val="22"/>
        </w:rPr>
      </w:pPr>
    </w:p>
    <w:p w14:paraId="3D3BFF9F" w14:textId="77777777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sz w:val="22"/>
          <w:szCs w:val="22"/>
        </w:rPr>
      </w:pPr>
    </w:p>
    <w:p w14:paraId="0B0A4686" w14:textId="195C816D" w:rsidR="00BE29C1" w:rsidRDefault="00BE29C1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DA </w:t>
      </w:r>
      <w:r w:rsidRPr="00BE29C1">
        <w:rPr>
          <w:rFonts w:ascii="Arial" w:hAnsi="Arial"/>
          <w:b/>
          <w:sz w:val="22"/>
          <w:szCs w:val="22"/>
        </w:rPr>
        <w:t>MOTIVAÇÃO DA INVERSÃO DE FASES</w:t>
      </w:r>
    </w:p>
    <w:p w14:paraId="31F118A8" w14:textId="432BF72E" w:rsidR="00BE29C1" w:rsidRPr="00BE29C1" w:rsidRDefault="00BE29C1" w:rsidP="00BE29C1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BE29C1">
        <w:rPr>
          <w:rFonts w:ascii="Arial" w:eastAsia="Times New Roman" w:hAnsi="Arial"/>
          <w:bCs/>
          <w:sz w:val="22"/>
          <w:szCs w:val="22"/>
        </w:rPr>
        <w:t>A presente licitação, cujo objeto consiste na contratação de empresa especializada em engenharia para execução da obra da Ponte Burim, sobre o Córrego Burim, no Município de Iporã-PR, mediante implantação de galeria celular pré-moldada de concreto, berço estrutural, alas laterais, capa de concreto armado, sistemas de travamento estrutural e demais serviços complementares previstos no Projeto Executivo e no Orçamento Sintético nº 7846-2/2025 aprovado pelo DER/PR , adotará o procedimento de inversão de fases, nos termos do §1º do art. 17 da Lei nº 14.133/2021. A escolha fundamenta-se na necessidade de assegurar maior eficiência administrativa, segurança jurídica e racionalidade ao certame, considerando a natureza técnica e estrutural da obra a ser executada.</w:t>
      </w:r>
    </w:p>
    <w:p w14:paraId="3ABAF91D" w14:textId="77777777" w:rsidR="00BE29C1" w:rsidRPr="00BE29C1" w:rsidRDefault="00BE29C1" w:rsidP="00BE29C1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BE29C1">
        <w:rPr>
          <w:rFonts w:ascii="Arial" w:eastAsia="Times New Roman" w:hAnsi="Arial"/>
          <w:bCs/>
          <w:sz w:val="22"/>
          <w:szCs w:val="22"/>
        </w:rPr>
        <w:t xml:space="preserve">A execução da Ponte Burim envolve serviços especializados, tais como concretagem estrutural com resistência característica definida, fornecimento e instalação de galeria celular pré-moldada de concreto, execução de berço/lastro estrutural, implantação de alas laterais, sistemas de ancoragem e travamento estrutural, além de controle tecnológico rigoroso dos materiais empregados. Tais atividades demandam empresa com comprovada qualificação técnica, capacidade operacional adequada e experiência específica em obras de arte correntes. </w:t>
      </w:r>
      <w:r w:rsidRPr="00BE29C1">
        <w:rPr>
          <w:rFonts w:ascii="Arial" w:eastAsia="Times New Roman" w:hAnsi="Arial"/>
          <w:bCs/>
          <w:sz w:val="22"/>
          <w:szCs w:val="22"/>
        </w:rPr>
        <w:lastRenderedPageBreak/>
        <w:t>Nesse contexto, a verificação prévia da habilitação técnica e documental das licitantes, antes da análise das propostas econômicas, mostra-se medida prudente e alinhada à complexidade do objeto.</w:t>
      </w:r>
    </w:p>
    <w:p w14:paraId="6BA25CF5" w14:textId="77777777" w:rsidR="00BE29C1" w:rsidRPr="00BE29C1" w:rsidRDefault="00BE29C1" w:rsidP="00BE29C1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BE29C1">
        <w:rPr>
          <w:rFonts w:ascii="Arial" w:eastAsia="Times New Roman" w:hAnsi="Arial"/>
          <w:bCs/>
          <w:sz w:val="22"/>
          <w:szCs w:val="22"/>
        </w:rPr>
        <w:t>A legislação vigente autoriza expressamente a Administração a promover a inversão das fases, desde que devidamente motivada, visando aprimorar a eficiência do procedimento. No presente caso, a análise antecipada da habilitação — incluindo verificação de registro da empresa no CREA, apresentação de Certidão de Acervo Técnico (CAT) com atestados compatíveis, comprovação de experiência em estruturas pré-moldadas e sistemas de travamento estrutural, indicação de responsável técnico habilitado e regularidade jurídico-fiscal — reduz substancialmente o risco de inabilitações posteriores, evitando retrabalho, atrasos processuais e prejuízo ao cronograma físico-financeiro da obra.</w:t>
      </w:r>
    </w:p>
    <w:p w14:paraId="60C8C49B" w14:textId="77777777" w:rsidR="00BE29C1" w:rsidRPr="00BE29C1" w:rsidRDefault="00BE29C1" w:rsidP="00BE29C1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BE29C1">
        <w:rPr>
          <w:rFonts w:ascii="Arial" w:eastAsia="Times New Roman" w:hAnsi="Arial"/>
          <w:bCs/>
          <w:sz w:val="22"/>
          <w:szCs w:val="22"/>
        </w:rPr>
        <w:t>Sob o enfoque da eficiência administrativa, princípio consagrado na Lei nº 14.133/2021, a inversão de fases permite que a Administração concentre seus esforços na análise das propostas apresentadas por empresas que já demonstraram capacidade técnica e regularidade documental para executar a obra. Essa sistemática reduz diligências desnecessárias, evita a apreciação de propostas de empresas que não detêm aptidão técnica para execução da Ponte Burim e contribui para maior agilidade no processamento do certame.</w:t>
      </w:r>
    </w:p>
    <w:p w14:paraId="445C0CE6" w14:textId="681965F1" w:rsidR="00BE29C1" w:rsidRPr="00BE29C1" w:rsidRDefault="00BE29C1" w:rsidP="00BE29C1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BE29C1">
        <w:rPr>
          <w:rFonts w:ascii="Arial" w:eastAsia="Times New Roman" w:hAnsi="Arial"/>
          <w:bCs/>
          <w:sz w:val="22"/>
          <w:szCs w:val="22"/>
        </w:rPr>
        <w:t>A adoção da inversão de fases também contribui para maior previsibilidade e estabilidade do procedimento licitatório, reduzindo o risco de impugnações e recursos relacionados à fase de habilitação após a etapa competitiva. Considerando que a obra está vinculada a recursos do Convênio nº 027/2025 – SEIL e deve observar cronograma específico para execução e prestação de contas, a celeridade na condução do processo licitatório é elemento essencial para garantir a tempestiva implantação da infraestrutura projetada.</w:t>
      </w:r>
    </w:p>
    <w:p w14:paraId="176DE21D" w14:textId="77777777" w:rsidR="00BE29C1" w:rsidRPr="00BE29C1" w:rsidRDefault="00BE29C1" w:rsidP="00BE29C1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BE29C1">
        <w:rPr>
          <w:rFonts w:ascii="Arial" w:eastAsia="Times New Roman" w:hAnsi="Arial"/>
          <w:bCs/>
          <w:sz w:val="22"/>
          <w:szCs w:val="22"/>
        </w:rPr>
        <w:t>Do ponto de vista da transparência e do controle, a inversão das fases não restringe a publicidade dos atos administrativos, mas organiza o procedimento de modo mais eficiente, assegurando que apenas empresas tecnicamente aptas avancem para a disputa de preços. Em se tratando de obra de engenharia estrutural com responsabilidade técnica significativa e impactos diretos na segurança dos usuários da via rural, é imprescindível que a Administração tenha plena convicção quanto à capacidade técnica das participantes antes da fase competitiva.</w:t>
      </w:r>
    </w:p>
    <w:p w14:paraId="1ED8C837" w14:textId="77777777" w:rsidR="00BE29C1" w:rsidRPr="00BE29C1" w:rsidRDefault="00BE29C1" w:rsidP="00BE29C1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BE29C1">
        <w:rPr>
          <w:rFonts w:ascii="Arial" w:eastAsia="Times New Roman" w:hAnsi="Arial"/>
          <w:bCs/>
          <w:sz w:val="22"/>
          <w:szCs w:val="22"/>
        </w:rPr>
        <w:t>A natureza do objeto — que envolve execução de estrutura em concreto armado, galeria celular pré-moldada, sistemas de ancoragem e travamento estrutural, controle tecnológico e cumprimento rigoroso de normas técnicas — exige elevado grau de especialização. A inversão de fases contribui para mitigar riscos de inexecução contratual ou execução deficiente, assegurando que apenas empresas devidamente qualificadas disputem a proposta econômica, protegendo o erário e garantindo a entrega de infraestrutura segura, durável e funcional.</w:t>
      </w:r>
    </w:p>
    <w:p w14:paraId="3B3CF121" w14:textId="50A1BE96" w:rsidR="00BE29C1" w:rsidRPr="00BE29C1" w:rsidRDefault="00BE29C1" w:rsidP="00BE29C1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BE29C1">
        <w:rPr>
          <w:rFonts w:ascii="Arial" w:eastAsia="Times New Roman" w:hAnsi="Arial"/>
          <w:bCs/>
          <w:sz w:val="22"/>
          <w:szCs w:val="22"/>
        </w:rPr>
        <w:t>Diante do exposto, resta demonstrado que a adoção da inversão de fases é medida oportuna, vantajosa e plenamente compatível com o interesse público, proporcionando processo licitatório mais eficiente, seguro e alinhado à complexidade técnica da obra da Ponte Burim. Conclui-se, portanto, que a inversão atende integralmente ao disposto no §1º do art. 17 da Lei nº 14.133/2021, configurando solução administrativa adequada para assegurar a contratação de empresa tecnicamente apta à execução da obra no Município de Iporã-PR.</w:t>
      </w:r>
    </w:p>
    <w:p w14:paraId="317F9F0F" w14:textId="77777777" w:rsidR="00BE29C1" w:rsidRDefault="00BE29C1" w:rsidP="00BE29C1">
      <w:pPr>
        <w:pStyle w:val="Standard"/>
        <w:jc w:val="both"/>
        <w:rPr>
          <w:rFonts w:ascii="Arial" w:hAnsi="Arial"/>
          <w:b/>
          <w:sz w:val="22"/>
          <w:szCs w:val="22"/>
        </w:rPr>
      </w:pPr>
    </w:p>
    <w:p w14:paraId="41CA5A1E" w14:textId="79B40AAB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hAnsi="Arial"/>
          <w:b/>
          <w:sz w:val="22"/>
          <w:szCs w:val="22"/>
        </w:rPr>
        <w:t>DA GESTÃO E FISCALIZAÇÃO DO CONTRATO</w:t>
      </w:r>
    </w:p>
    <w:p w14:paraId="5C3C6C14" w14:textId="77777777" w:rsidR="00E6614E" w:rsidRPr="00260BE2" w:rsidRDefault="00E6614E" w:rsidP="00E6614E">
      <w:pPr>
        <w:pStyle w:val="TableContents"/>
        <w:suppressAutoHyphens/>
        <w:spacing w:line="276" w:lineRule="auto"/>
        <w:ind w:left="686"/>
        <w:jc w:val="both"/>
        <w:rPr>
          <w:rFonts w:ascii="Arial" w:hAnsi="Arial"/>
          <w:sz w:val="22"/>
          <w:szCs w:val="22"/>
        </w:rPr>
      </w:pPr>
      <w:r w:rsidRPr="00260BE2">
        <w:rPr>
          <w:rFonts w:ascii="Arial" w:eastAsia="Times New Roman" w:hAnsi="Arial"/>
          <w:b/>
          <w:bCs/>
          <w:sz w:val="22"/>
          <w:szCs w:val="22"/>
        </w:rPr>
        <w:t>13.1. Da Gestão do Contrato</w:t>
      </w:r>
    </w:p>
    <w:p w14:paraId="68B09663" w14:textId="4D373848" w:rsidR="00E6614E" w:rsidRPr="00260BE2" w:rsidRDefault="00E6614E" w:rsidP="00F6376F">
      <w:pPr>
        <w:ind w:left="709"/>
        <w:rPr>
          <w:rFonts w:ascii="Arial" w:eastAsia="Times New Roman" w:hAnsi="Arial"/>
          <w:b/>
          <w:bCs/>
          <w:sz w:val="22"/>
          <w:szCs w:val="22"/>
        </w:rPr>
      </w:pPr>
      <w:r w:rsidRPr="00260BE2">
        <w:rPr>
          <w:rFonts w:ascii="Arial" w:eastAsia="Times New Roman" w:hAnsi="Arial"/>
          <w:sz w:val="22"/>
          <w:szCs w:val="22"/>
        </w:rPr>
        <w:t xml:space="preserve">A gestão do Contrato será atribuída </w:t>
      </w:r>
      <w:r w:rsidR="00A93161" w:rsidRPr="00260BE2">
        <w:rPr>
          <w:rFonts w:ascii="Arial" w:eastAsia="Times New Roman" w:hAnsi="Arial"/>
          <w:sz w:val="22"/>
          <w:szCs w:val="22"/>
        </w:rPr>
        <w:t>ao</w:t>
      </w:r>
      <w:r w:rsidRPr="00260BE2">
        <w:rPr>
          <w:rFonts w:ascii="Arial" w:eastAsia="Times New Roman" w:hAnsi="Arial"/>
          <w:sz w:val="22"/>
          <w:szCs w:val="22"/>
        </w:rPr>
        <w:t xml:space="preserve"> Servidor</w:t>
      </w:r>
      <w:r w:rsidR="004D56ED" w:rsidRPr="00260BE2">
        <w:rPr>
          <w:rFonts w:ascii="Arial" w:eastAsia="Times New Roman" w:hAnsi="Arial"/>
          <w:sz w:val="22"/>
          <w:szCs w:val="22"/>
        </w:rPr>
        <w:t xml:space="preserve">: </w:t>
      </w:r>
      <w:bookmarkStart w:id="5" w:name="_Hlk198058249"/>
      <w:r w:rsidR="00F6376F" w:rsidRPr="00F6376F">
        <w:rPr>
          <w:rFonts w:ascii="Arial" w:eastAsia="Times New Roman" w:hAnsi="Arial"/>
          <w:b/>
          <w:bCs/>
          <w:sz w:val="22"/>
          <w:szCs w:val="22"/>
          <w:highlight w:val="yellow"/>
        </w:rPr>
        <w:t>xxxxxxxxxxxxx</w:t>
      </w:r>
      <w:r w:rsidR="00552BB0" w:rsidRPr="00260BE2">
        <w:rPr>
          <w:rFonts w:ascii="Arial" w:eastAsia="Times New Roman" w:hAnsi="Arial"/>
          <w:b/>
          <w:bCs/>
          <w:sz w:val="22"/>
          <w:szCs w:val="22"/>
        </w:rPr>
        <w:t>.</w:t>
      </w:r>
      <w:bookmarkEnd w:id="5"/>
    </w:p>
    <w:p w14:paraId="46ED87BB" w14:textId="77777777" w:rsidR="00A94491" w:rsidRPr="00260BE2" w:rsidRDefault="00A94491" w:rsidP="008C0B7D">
      <w:pPr>
        <w:jc w:val="center"/>
        <w:rPr>
          <w:rFonts w:ascii="Arial" w:hAnsi="Arial"/>
          <w:sz w:val="22"/>
          <w:szCs w:val="22"/>
        </w:rPr>
      </w:pPr>
    </w:p>
    <w:p w14:paraId="5986482D" w14:textId="77777777" w:rsidR="00E6614E" w:rsidRPr="00260BE2" w:rsidRDefault="00E6614E" w:rsidP="00E6614E">
      <w:pPr>
        <w:pStyle w:val="TableContents"/>
        <w:suppressAutoHyphens/>
        <w:spacing w:line="276" w:lineRule="auto"/>
        <w:ind w:left="686"/>
        <w:jc w:val="both"/>
        <w:rPr>
          <w:rFonts w:ascii="Arial" w:hAnsi="Arial"/>
          <w:sz w:val="22"/>
          <w:szCs w:val="22"/>
        </w:rPr>
      </w:pPr>
      <w:r w:rsidRPr="00260BE2">
        <w:rPr>
          <w:rFonts w:ascii="Arial" w:eastAsia="Times New Roman" w:hAnsi="Arial"/>
          <w:b/>
          <w:bCs/>
          <w:sz w:val="22"/>
          <w:szCs w:val="22"/>
        </w:rPr>
        <w:t>13.2. Da Fiscalização do Contrato</w:t>
      </w:r>
    </w:p>
    <w:p w14:paraId="0F8BDBFD" w14:textId="34A60B63" w:rsidR="00E6614E" w:rsidRPr="00260BE2" w:rsidRDefault="00E6614E" w:rsidP="00E6614E">
      <w:pPr>
        <w:pStyle w:val="TableContents"/>
        <w:suppressAutoHyphens/>
        <w:spacing w:line="276" w:lineRule="auto"/>
        <w:ind w:left="686"/>
        <w:jc w:val="both"/>
        <w:rPr>
          <w:rFonts w:ascii="Arial" w:eastAsia="Times New Roman" w:hAnsi="Arial"/>
          <w:bCs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sz w:val="22"/>
          <w:szCs w:val="22"/>
        </w:rPr>
        <w:t xml:space="preserve">A Fiscalização do Contrato será atribuída </w:t>
      </w:r>
      <w:r w:rsidR="002859F1" w:rsidRPr="00260BE2">
        <w:rPr>
          <w:rFonts w:ascii="Arial" w:eastAsia="Times New Roman" w:hAnsi="Arial"/>
          <w:sz w:val="22"/>
          <w:szCs w:val="22"/>
        </w:rPr>
        <w:t>ao</w:t>
      </w:r>
      <w:r w:rsidRPr="00260BE2">
        <w:rPr>
          <w:rFonts w:ascii="Arial" w:eastAsia="Times New Roman" w:hAnsi="Arial"/>
          <w:sz w:val="22"/>
          <w:szCs w:val="22"/>
        </w:rPr>
        <w:t xml:space="preserve"> Servidor</w:t>
      </w:r>
      <w:r w:rsidR="008C0B7D" w:rsidRPr="00260BE2">
        <w:rPr>
          <w:rFonts w:ascii="Arial" w:eastAsia="Times New Roman" w:hAnsi="Arial"/>
          <w:sz w:val="22"/>
          <w:szCs w:val="22"/>
        </w:rPr>
        <w:t xml:space="preserve">: </w:t>
      </w:r>
      <w:r w:rsidR="00F6376F" w:rsidRPr="00F6376F">
        <w:rPr>
          <w:rFonts w:ascii="Arial" w:eastAsia="Times New Roman" w:hAnsi="Arial"/>
          <w:b/>
          <w:bCs/>
          <w:sz w:val="22"/>
          <w:szCs w:val="22"/>
          <w:highlight w:val="yellow"/>
        </w:rPr>
        <w:t>xxxxxxxxxxxxx</w:t>
      </w:r>
      <w:r w:rsidR="00E10050" w:rsidRPr="00260BE2">
        <w:rPr>
          <w:rFonts w:ascii="Arial" w:eastAsia="Calibri" w:hAnsi="Arial"/>
          <w:b/>
          <w:bCs/>
          <w:iCs/>
          <w:sz w:val="22"/>
          <w:szCs w:val="22"/>
        </w:rPr>
        <w:t>.</w:t>
      </w:r>
    </w:p>
    <w:p w14:paraId="77E2E85B" w14:textId="77777777" w:rsidR="00191809" w:rsidRPr="00260BE2" w:rsidRDefault="00191809" w:rsidP="00191809">
      <w:pPr>
        <w:pStyle w:val="Standard"/>
        <w:ind w:left="641"/>
        <w:jc w:val="both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</w:p>
    <w:p w14:paraId="56F8EA49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  <w:lastRenderedPageBreak/>
        <w:t>DOS REQUISITOS DA CONTRATAÇÃO</w:t>
      </w:r>
    </w:p>
    <w:p w14:paraId="67813B7D" w14:textId="04DA093D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bookmarkStart w:id="6" w:name="_Hlk198058794"/>
      <w:r w:rsidRPr="00CB6BC4">
        <w:rPr>
          <w:rFonts w:ascii="Arial" w:eastAsia="Times New Roman" w:hAnsi="Arial"/>
          <w:bCs/>
          <w:sz w:val="22"/>
          <w:szCs w:val="22"/>
        </w:rPr>
        <w:t>A presente contratação deverá observar integralmente as disposições da Lei nº 14.133/2021, bem como as normas técnicas aplicáveis à execução de obras de arte correntes, as especificações constantes no Projeto Executivo, no Memorial Descritivo e no Orçamento Sintético aprovado pelo DER/PR, com data-base de 31/03/2025. A empresa contratada deverá executar a obra da Ponte Burim em estrita conformidade com os documentos técnicos que integram o processo licitatório, garantindo qualidade, segurança estrutural, durabilidade e pleno atendimento ao interesse público.</w:t>
      </w:r>
    </w:p>
    <w:p w14:paraId="593ACB55" w14:textId="679CC90E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Constitui requisito essencial da contratação que a empresa mantenha, durante toda a execução contratual, responsável técnico devidamente habilitado e registrado no CREA, com emissão da correspondente Anotação de Responsabilidade Técnica (ART) de execução, respondendo formalmente pelos serviços realizados. A contratada deverá cumprir integralmente as normas técnicas brasileiras aplicáveis, especialmente no que se refere à execução de estruturas em concreto armado, galeria celular pré-moldada, capa estrutural, alas laterais, sistemas de ancoragem e travamento estrutural, bem como atender às diretrizes técnicas do DER/PR constantes no orçamento referencial.</w:t>
      </w:r>
    </w:p>
    <w:p w14:paraId="2DEDEC6E" w14:textId="77777777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A empresa deverá dispor de equipe técnica qualificada e equipamentos compatíveis com a complexidade da obra, incluindo maquinário para terraplenagem, concretagem, içamento e posicionamento das aduelas pré-moldadas, além de garantir controle tecnológico dos materiais empregados, especialmente concreto estrutural com resistência característica especificada em projeto (Fck = 30 MPa). Todos os materiais utilizados deverão possuir qualidade comprovada, atendendo às normas da ABNT e demais regulamentações pertinentes, sendo vedada a utilização de insumos em desacordo com as especificações técnicas.</w:t>
      </w:r>
    </w:p>
    <w:p w14:paraId="15966F89" w14:textId="77777777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No âmbito da segurança do trabalho, a contratada deverá cumprir rigorosamente as Normas Regulamentadoras aplicáveis à construção civil, especialmente no que se refere à implementação de Programa de Gerenciamento de Riscos (PGR), Programa de Controle Médico de Saúde Ocupacional (PCMSO), fornecimento de Equipamentos de Proteção Individual (EPI) e Equipamentos de Proteção Coletiva (EPC), treinamento de trabalhadores e organização adequada do canteiro de obras. A responsabilidade por encargos trabalhistas, previdenciários, fiscais e comerciais decorrentes da execução do objeto será integralmente da contratada, não cabendo à Administração qualquer vínculo ou responsabilidade subsidiária além dos limites legais.</w:t>
      </w:r>
    </w:p>
    <w:p w14:paraId="37F82433" w14:textId="77777777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Constitui ainda requisito da contratação o cumprimento rigoroso do cronograma físico-financeiro aprovado, observando-se os prazos estabelecidos para mobilização, execução das etapas estruturais, sinalização e conclusão da obra. Eventuais atrasos injustificados ensejarão aplicação das penalidades previstas no instrumento contratual, conforme a Lei nº 14.133/2021. A contratada deverá manter todas as condições de habilitação exigidas na licitação durante a vigência do contrato, assegurando regularidade jurídica, fiscal, trabalhista e técnica até o recebimento definitivo da obra.</w:t>
      </w:r>
    </w:p>
    <w:p w14:paraId="67CFAFC6" w14:textId="4F4D6808" w:rsidR="00191809" w:rsidRPr="00260BE2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Por fim, a execução da Ponte Burim deverá ocorrer com observância dos princípios da legalidade, eficiência, economicidade, transparência e supremacia do interesse público, garantindo que a infraestrutura entregue ao Município de Iporã-PR atenda plenamente às condições de segurança, estabilidade e funcionalidade previstas no projeto técnico. O descumprimento das obrigações assumidas poderá ensejar aplicação de sanções administrativas, rescisão contratual e demais medidas cabíveis, nos termos da legislação vigente.</w:t>
      </w:r>
    </w:p>
    <w:bookmarkEnd w:id="6"/>
    <w:p w14:paraId="301F87D1" w14:textId="77777777" w:rsidR="003B1672" w:rsidRPr="00260BE2" w:rsidRDefault="003B1672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</w:p>
    <w:p w14:paraId="25973997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 xml:space="preserve">DA JUSTIFICATIVA PARA O PARCELAMENTO OU NÃO DO OBJETO </w:t>
      </w:r>
    </w:p>
    <w:p w14:paraId="6C4BDCE2" w14:textId="30B41F8B" w:rsidR="00191809" w:rsidRPr="00260BE2" w:rsidRDefault="008C0B7D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lastRenderedPageBreak/>
        <w:t>Devido à natureza do objeto e a possível variedade de produtos, optou-se pelo parcelamento, sendo que no processo será realizado por item e não através de lote.</w:t>
      </w:r>
    </w:p>
    <w:p w14:paraId="3B849F33" w14:textId="77777777" w:rsidR="008C0B7D" w:rsidRPr="00260BE2" w:rsidRDefault="008C0B7D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</w:p>
    <w:p w14:paraId="3565BBC5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DA PARTICIPAÇÃO EXCLUSIVA DE MICROEMPRESA E EMPRESA DE PEQUENO PORTE</w:t>
      </w:r>
    </w:p>
    <w:p w14:paraId="0F86CD15" w14:textId="77777777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A presente licitação será realizada em regime de ampla concorrência, não sendo aplicada a regra de participação exclusiva para microempresas (ME) e empresas de pequeno porte (EPP), conforme previsto no art. 48, inciso I, da Lei Complementar nº 123/2006, combinado com o art. 72, inciso I, da Lei nº 14.133/2021.</w:t>
      </w:r>
    </w:p>
    <w:p w14:paraId="330F8579" w14:textId="417661B1" w:rsidR="00FD5FE2" w:rsidRPr="00260BE2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A decisão de não aplicar o tratamento diferenciado deve-se ao fato de que o valor estimado da contratação ultrapassa o limite de R$ 80.000,00 (oitenta mil reais), estabelecido na legislação vigente como teto para que a disputa seja restrita a ME e EPP. Assim, a realização do certame em caráter amplo visa garantir a legalidade do procedimento, a competitividade entre os participantes e a obtenção da proposta mais vantajosa para a Administração Pública</w:t>
      </w:r>
      <w:r w:rsidR="00D53AB6" w:rsidRPr="00D53AB6">
        <w:rPr>
          <w:rFonts w:ascii="Arial" w:eastAsia="Times New Roman" w:hAnsi="Arial"/>
          <w:bCs/>
          <w:sz w:val="22"/>
          <w:szCs w:val="22"/>
        </w:rPr>
        <w:t>.</w:t>
      </w:r>
    </w:p>
    <w:p w14:paraId="0050D70B" w14:textId="77777777" w:rsidR="00754C09" w:rsidRPr="00260BE2" w:rsidRDefault="00754C09" w:rsidP="00754C09">
      <w:pPr>
        <w:shd w:val="clear" w:color="auto" w:fill="FFFFFF"/>
        <w:suppressAutoHyphens w:val="0"/>
        <w:autoSpaceDN/>
        <w:ind w:left="641" w:firstLine="493"/>
        <w:jc w:val="both"/>
        <w:textAlignment w:val="auto"/>
        <w:rPr>
          <w:rFonts w:ascii="Arial" w:eastAsia="Times New Roman" w:hAnsi="Arial"/>
          <w:b/>
          <w:bCs/>
          <w:sz w:val="22"/>
          <w:szCs w:val="22"/>
        </w:rPr>
      </w:pPr>
    </w:p>
    <w:p w14:paraId="5115F000" w14:textId="6DAA95D6" w:rsidR="00E53D58" w:rsidRPr="00260BE2" w:rsidRDefault="00E53D58" w:rsidP="00E53D58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DA NECESSIDADE DE RESERVA DE COTA</w:t>
      </w:r>
    </w:p>
    <w:p w14:paraId="282829AE" w14:textId="105E25E0" w:rsidR="00E53D58" w:rsidRPr="00260BE2" w:rsidRDefault="00E53D58" w:rsidP="00347919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Não há.</w:t>
      </w:r>
    </w:p>
    <w:p w14:paraId="054FAABD" w14:textId="77777777" w:rsidR="00191809" w:rsidRPr="00260BE2" w:rsidRDefault="00191809" w:rsidP="00191809">
      <w:pPr>
        <w:shd w:val="clear" w:color="auto" w:fill="FFFFFF"/>
        <w:suppressAutoHyphens w:val="0"/>
        <w:autoSpaceDN/>
        <w:ind w:left="641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</w:p>
    <w:p w14:paraId="5C55CEE1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DA DECLARAÇÃO DE QUE O OBJETO DEMANDADO NÃO SE ENQUADRA COMO ARTIGO DE LUXO</w:t>
      </w:r>
    </w:p>
    <w:p w14:paraId="4CE17E0A" w14:textId="73C511A8" w:rsidR="00E53D58" w:rsidRPr="00260BE2" w:rsidRDefault="00E53D58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Em atendimento ao disposto no </w:t>
      </w:r>
      <w:r w:rsidRPr="00260BE2">
        <w:rPr>
          <w:rFonts w:ascii="Arial" w:eastAsia="Times New Roman" w:hAnsi="Arial"/>
          <w:b/>
          <w:sz w:val="22"/>
          <w:szCs w:val="22"/>
          <w:u w:val="single"/>
        </w:rPr>
        <w:t>art. 20 da Lei Federal nº 14.133/2021</w:t>
      </w:r>
      <w:r w:rsidRPr="00260BE2">
        <w:rPr>
          <w:rFonts w:ascii="Arial" w:eastAsia="Times New Roman" w:hAnsi="Arial"/>
          <w:bCs/>
          <w:sz w:val="22"/>
          <w:szCs w:val="22"/>
        </w:rPr>
        <w:t>, declaramos que os itens a serem adquiridos não compreendem artigos de luxo. Logo, reafirmamos que os itens do objeto em questão são de qualidade comum e não superior à necessária finalidade à qual se destina.</w:t>
      </w:r>
    </w:p>
    <w:p w14:paraId="6FCEC183" w14:textId="77777777" w:rsidR="00191809" w:rsidRPr="00260BE2" w:rsidRDefault="00191809" w:rsidP="00191809">
      <w:pPr>
        <w:pStyle w:val="Standard"/>
        <w:ind w:left="641"/>
        <w:jc w:val="both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</w:p>
    <w:p w14:paraId="69E2AE88" w14:textId="77777777" w:rsidR="00191809" w:rsidRPr="00260BE2" w:rsidRDefault="00191809" w:rsidP="000C4A7A">
      <w:pPr>
        <w:pStyle w:val="Standard"/>
        <w:numPr>
          <w:ilvl w:val="0"/>
          <w:numId w:val="1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DO MODELO DE EXECUÇÃO DO OBJETO</w:t>
      </w:r>
    </w:p>
    <w:p w14:paraId="646989F0" w14:textId="4F20C874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O modelo de execução do objeto deverá observar rigorosamente as condições técnicas, operacionais e administrativas estabelecidas no Projeto Executivo, no Memorial Descritivo, no Orçamento Sintético nº 7846-2/2025 e nos demais documentos que integram o processo licitatório da obra da Ponte Burim, no Município de Iporã-PR. A execução deverá ocorrer de forma planejada, contínua e coordenada, garantindo o atendimento integral às especificações técnicas, às normas do DER/PR, às normas da ABNT aplicáveis e aos princípios da eficiência, economicidade e interesse público previstos na Lei nº 14.133/2021.</w:t>
      </w:r>
    </w:p>
    <w:p w14:paraId="34E0D486" w14:textId="456F2E63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A empresa contratada será responsável pela execução integral da obra, compreendendo a mobilização de equipe técnica e equipamentos, instalação do canteiro de obras, sinalização provisória, execução dos serviços preliminares e demolições necessárias, preparação do terreno e serviços de terraplenagem. Na sequência, deverão ser executados o berço/lastro estrutural em concreto armado, devidamente ancorado conforme projeto, o fornecimento e a instalação da galeria celular pré-moldada de concreto, inclusive rejuntamento, fixações e dispositivos de ancoragem, bem como a execução das alas laterais e sistemas de travamento estrutural previstos.</w:t>
      </w:r>
    </w:p>
    <w:p w14:paraId="02D253E5" w14:textId="77777777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Após a implantação da estrutura principal, será executada a capa de concreto armado com resistência característica compatível ao projeto (Fck = 30 MPa), incluindo armaduras, conectores, formas, bombeamento e lançamento do concreto, garantindo a integração monolítica da estrutura. Deverão ser implantados guarda-rodas laterais em concreto armado e demais dispositivos de segurança viária previstos. Todos os serviços deverão ser realizados sob acompanhamento do responsável técnico da contratada, com emissão da ART de execução e supervisão da fiscalização designada pela Administração.</w:t>
      </w:r>
    </w:p>
    <w:p w14:paraId="600C5E81" w14:textId="77777777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 xml:space="preserve">A contratada deverá assegurar controle tecnológico dos materiais empregados, especialmente concreto estrutural, aço e elementos pré-moldados, apresentando laudos, </w:t>
      </w:r>
      <w:r w:rsidRPr="00CB6BC4">
        <w:rPr>
          <w:rFonts w:ascii="Arial" w:eastAsia="Times New Roman" w:hAnsi="Arial"/>
          <w:bCs/>
          <w:sz w:val="22"/>
          <w:szCs w:val="22"/>
        </w:rPr>
        <w:lastRenderedPageBreak/>
        <w:t>ensaios e certificados de qualidade sempre que solicitado pela fiscalização. Não será admitida a substituição de materiais ou alteração de metodologia executiva sem prévia autorização formal da Administração. Eventuais inconformidades deverão ser corrigidas imediatamente, sem ônus adicional ao Município.</w:t>
      </w:r>
    </w:p>
    <w:p w14:paraId="69A2F0BE" w14:textId="77777777" w:rsidR="00CB6BC4" w:rsidRPr="00CB6BC4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O modelo de execução prevê fiscalização contínua por parte da Administração, com registro das medições por etapa concluída, observando-se o cronograma físico-financeiro aprovado. O pagamento será realizado mediante medição dos serviços efetivamente executados e aceitos pela fiscalização, conforme critérios estabelecidos no contrato. O recebimento da obra ocorrerá em duas etapas: provisório, após conclusão física e verificação preliminar, e definitivo, após decurso do prazo legal e confirmação da plena funcionalidade e estabilidade da estrutura.</w:t>
      </w:r>
    </w:p>
    <w:p w14:paraId="2EB26C65" w14:textId="38663E42" w:rsidR="00466AEA" w:rsidRPr="00260BE2" w:rsidRDefault="00CB6BC4" w:rsidP="00CB6BC4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CB6BC4">
        <w:rPr>
          <w:rFonts w:ascii="Arial" w:eastAsia="Times New Roman" w:hAnsi="Arial"/>
          <w:bCs/>
          <w:sz w:val="22"/>
          <w:szCs w:val="22"/>
        </w:rPr>
        <w:t>Prazo de execução: O prazo para execução da obra deverá observar o cronograma físico-financeiro aprovado no processo licitatório, iniciando-se a contagem a partir da emissão da Ordem de Serviço. A contratada deverá mobilizar-se imediatamente após a assinatura do contrato e cumprir integralmente os prazos estabelecidos, sob pena de aplicação das sanções administrativas cabíveis nos termos da Lei nº 14.133/2021.</w:t>
      </w:r>
    </w:p>
    <w:p w14:paraId="5987FF1E" w14:textId="77777777" w:rsidR="00191809" w:rsidRPr="00260BE2" w:rsidRDefault="00191809" w:rsidP="00191809">
      <w:pPr>
        <w:pStyle w:val="Nivel2"/>
        <w:tabs>
          <w:tab w:val="left" w:pos="1701"/>
          <w:tab w:val="left" w:pos="1843"/>
        </w:tabs>
        <w:autoSpaceDN/>
        <w:spacing w:before="0" w:after="0" w:line="240" w:lineRule="auto"/>
        <w:ind w:left="567" w:right="139" w:firstLine="567"/>
        <w:textAlignment w:val="auto"/>
        <w:rPr>
          <w:rFonts w:eastAsia="NSimSun"/>
          <w:color w:val="auto"/>
          <w:kern w:val="0"/>
          <w:sz w:val="22"/>
          <w:szCs w:val="22"/>
          <w:lang w:eastAsia="pt-BR" w:bidi="ar-SA"/>
        </w:rPr>
      </w:pPr>
    </w:p>
    <w:p w14:paraId="5152FF1C" w14:textId="5E98FDBF" w:rsidR="00191809" w:rsidRPr="00260BE2" w:rsidRDefault="00191809" w:rsidP="00DD6745">
      <w:pPr>
        <w:pStyle w:val="Standard"/>
        <w:numPr>
          <w:ilvl w:val="0"/>
          <w:numId w:val="3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  <w:t>DO MODELO DE GESTÃO DO CONTRATO</w:t>
      </w:r>
      <w:r w:rsidR="00DD6745" w:rsidRPr="00260BE2">
        <w:rPr>
          <w:rFonts w:ascii="Arial" w:eastAsia="Times New Roman" w:hAnsi="Arial"/>
          <w:b/>
          <w:kern w:val="0"/>
          <w:sz w:val="22"/>
          <w:szCs w:val="22"/>
          <w:lang w:eastAsia="pt-BR" w:bidi="ar-SA"/>
        </w:rPr>
        <w:t xml:space="preserve"> E/OU ATA DE REGISTRO DE PREÇOS</w:t>
      </w:r>
    </w:p>
    <w:p w14:paraId="7811AD82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contrato deverá ser executado fielmente pelas partes, de acordo com as cláusulas avençadas e as normas da Lei nº 14.133, de 2021, e cada parte responderá pelas consequências de sua inexecução total ou parcial.</w:t>
      </w:r>
    </w:p>
    <w:p w14:paraId="593A5A59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Em caso de impedimento, ordem de paralisação ou suspensão do contrato, o cronograma de execução será prorrogado automaticamente pelo tempo correspondente, anotadas tais circunstâncias mediante simples apostila.</w:t>
      </w:r>
    </w:p>
    <w:p w14:paraId="2EA8E791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As comunicações entre o órgão ou entidade e a contratada devem ser realizadas por escrito sempre que o ato exigir tal formalidade, admitindo-se o uso de mensagem eletrônica para esse fim.</w:t>
      </w:r>
    </w:p>
    <w:p w14:paraId="20C87A59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órgão ou entidade poderá convocar representante da empresa para adoção de providências que devam ser cumpridas de imediato.</w:t>
      </w:r>
    </w:p>
    <w:p w14:paraId="460A658C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Todas as despesas diretas, indiretas, benefícios, encargos trabalhistas, previdenciários, fiscais e comerciais, tributos, sem qualquer exceção, que incidirem sobre a execução do objeto, correrão por conta exclusiva da empresa vencedora</w:t>
      </w:r>
    </w:p>
    <w:p w14:paraId="644A9D90" w14:textId="77777777" w:rsidR="006E5A1E" w:rsidRPr="00260BE2" w:rsidRDefault="006E5A1E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</w:p>
    <w:p w14:paraId="17E69510" w14:textId="702F5E89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FISCALIZAÇÃO</w:t>
      </w:r>
    </w:p>
    <w:p w14:paraId="03F13B31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 execução do contrato deverá ser acompanhada e fiscalizada pelo(s) fiscal(is) do contrato, ou pelos respectivos substitutos (Lei nº 14.133, de 2021, art. 117, caput).</w:t>
      </w:r>
    </w:p>
    <w:p w14:paraId="58787900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fiscal do contrato acompanhará a execução do contrato, para que sejam cumpridas todas as condições estabelecidas no contrato, de modo a assegurar os melhores resultados para a Administração. (Decreto nº 11.246, de 2022, art. 22, VI);</w:t>
      </w:r>
    </w:p>
    <w:p w14:paraId="20C6E9AA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fiscal do contrato anotará no histórico de gerenciamento do contrato todas as ocorrências relacionadas à execução do contrato, com a descrição do que for necessário para a regularização das faltas ou dos defeitos observados. (Lei nº 14.133, de 2021, art. 117, §1º e Decreto nº 11.246, de 2022, art. 22, II);</w:t>
      </w:r>
    </w:p>
    <w:p w14:paraId="09FEF17B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Identificada qualquer inexatidão ou irregularidade, o fiscal do contrato emitirá notificações para a correção da execução do contrato, determinando prazo para a correção. (Decreto nº 11.246, de 2022, art. 22, III); </w:t>
      </w:r>
    </w:p>
    <w:p w14:paraId="1482C38B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fiscal do contrato informará ao gestor do contato, em tempo hábil, a situação que demandar decisão ou adoção de medidas que ultrapassem sua competência, para que adote as medidas necessárias e saneadoras, se for o caso. (Decreto nº 11.246, de 2022, art. 22, IV);</w:t>
      </w:r>
    </w:p>
    <w:p w14:paraId="77946663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lastRenderedPageBreak/>
        <w:t>No caso de ocorrências que possam inviabilizar a execução do contrato nas datas aprazadas, o fiscal do contrato comunicará o fato imediatamente ao gestor do contrato. (Decreto nº 11.246, de 2022, art. 22, V);</w:t>
      </w:r>
    </w:p>
    <w:p w14:paraId="1328DB54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fiscal do contrato comunicará ao gestor do contrato, em tempo hábil, o término do contrato sob sua responsabilidade, com vistas à tempestiva renovação ou à prorrogação contratual (</w:t>
      </w:r>
      <w:hyperlink r:id="rId8" w:anchor="art22">
        <w:r w:rsidRPr="00260BE2">
          <w:rPr>
            <w:rFonts w:ascii="Arial" w:eastAsia="Times New Roman" w:hAnsi="Arial"/>
            <w:bCs/>
            <w:sz w:val="22"/>
            <w:szCs w:val="22"/>
          </w:rPr>
          <w:t>Decreto nº 11.246, de 2022, art. 22, VII</w:t>
        </w:r>
      </w:hyperlink>
      <w:r w:rsidRPr="00260BE2">
        <w:rPr>
          <w:rFonts w:ascii="Arial" w:eastAsia="Times New Roman" w:hAnsi="Arial"/>
          <w:bCs/>
          <w:sz w:val="22"/>
          <w:szCs w:val="22"/>
        </w:rPr>
        <w:t>).</w:t>
      </w:r>
    </w:p>
    <w:p w14:paraId="2172E6A1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fiscal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 (Art. 23, I e II, do Decreto nº 11.246, de 2022).</w:t>
      </w:r>
    </w:p>
    <w:p w14:paraId="50068268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Caso ocorra descumprimento das obrigações contratuais, o fiscal administrativo do contrato atuará tempestivamente na solução do problema, reportando ao gestor do contrato para que tome as providências cabíveis, quando ultrapassar a sua competência; (Decreto nº 11.246, de 2022, art. 23, IV).</w:t>
      </w:r>
    </w:p>
    <w:p w14:paraId="54E4FF9F" w14:textId="77777777" w:rsidR="006E5A1E" w:rsidRPr="00260BE2" w:rsidRDefault="006E5A1E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</w:p>
    <w:p w14:paraId="24C5BA68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GESTOR DO CONTRATO</w:t>
      </w:r>
    </w:p>
    <w:p w14:paraId="508CED77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 (Decreto nº 11.246, de 2022, art. 21, IV).</w:t>
      </w:r>
    </w:p>
    <w:p w14:paraId="497EC539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O gestor do contrato acompanhará os registros realizados pelos fiscais do contrato, de todas as ocorrências relacionadas à execução do contrato e as medidas adotadas, informando, se for o caso, à autoridade superior àquelas que ultrapassarem a sua competência. (Decreto nº 11.246, de 2022, art. 21, II). </w:t>
      </w:r>
    </w:p>
    <w:p w14:paraId="1F60F121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O gestor do contrato acompanhará a manutenção das condições de habilitação da contratada, para fins de empenho de despesa e pagamento, e anotará os problemas que obstem o fluxo normal da liquidação e do pagamento da despesa no relatório de riscos eventuais. (Decreto nº 11.246, de 2022, art. 21, III). </w:t>
      </w:r>
    </w:p>
    <w:p w14:paraId="650F3529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(Decreto nº 11.246, de 2022, art. 21, VIII). </w:t>
      </w:r>
    </w:p>
    <w:p w14:paraId="13774C40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O gestor do contrato tomará providências para a formalização de processo administrativo de responsabilização para fins de aplicação de sanções, a ser conduzido pela comissão de que trata o art. 158 da Lei nº 14.133, de 2021, ou pelo agente ou pelo setor com competência para tal, conforme o caso. (Decreto nº 11.246, de 2022, art. 21, X). </w:t>
      </w:r>
    </w:p>
    <w:p w14:paraId="62B4EB5F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O gestor do contrato deverá elaborar relatório final com informações sobre a consecução dos objetivos que tenham justificado a contratação e eventuais condutas a serem adotadas para o aprimoramento das atividades da Administração. (Decreto nº 11.246, de 2022, art. 21, VI). </w:t>
      </w:r>
    </w:p>
    <w:p w14:paraId="51B67739" w14:textId="7AAF8174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gestor do contrato deverá enviar a documentação pertinente ao setor de contratos para a formalização dos procedimentos de liquidação e pagamento, no valor dimensionado pela fiscalização e gestão nos termos do contrato</w:t>
      </w:r>
      <w:r w:rsidR="00EC588E" w:rsidRPr="00260BE2">
        <w:rPr>
          <w:rFonts w:ascii="Arial" w:eastAsia="Times New Roman" w:hAnsi="Arial"/>
          <w:bCs/>
          <w:sz w:val="22"/>
          <w:szCs w:val="22"/>
        </w:rPr>
        <w:t>.</w:t>
      </w:r>
    </w:p>
    <w:p w14:paraId="00C361A0" w14:textId="6284DE9C" w:rsidR="00E53D58" w:rsidRPr="00260BE2" w:rsidRDefault="00E53D58" w:rsidP="00191809">
      <w:pPr>
        <w:shd w:val="clear" w:color="auto" w:fill="FFFFFF"/>
        <w:suppressAutoHyphens w:val="0"/>
        <w:autoSpaceDN/>
        <w:ind w:left="567" w:firstLine="567"/>
        <w:jc w:val="both"/>
        <w:textAlignment w:val="auto"/>
        <w:rPr>
          <w:rFonts w:ascii="Arial" w:hAnsi="Arial"/>
          <w:color w:val="FF0000"/>
          <w:sz w:val="22"/>
          <w:szCs w:val="22"/>
        </w:rPr>
      </w:pPr>
    </w:p>
    <w:p w14:paraId="47C079CE" w14:textId="77777777" w:rsidR="00191809" w:rsidRPr="00260BE2" w:rsidRDefault="00191809" w:rsidP="00DD6745">
      <w:pPr>
        <w:numPr>
          <w:ilvl w:val="0"/>
          <w:numId w:val="3"/>
        </w:numPr>
        <w:shd w:val="clear" w:color="auto" w:fill="D0CECE" w:themeFill="background2" w:themeFillShade="E6"/>
        <w:suppressAutoHyphens w:val="0"/>
        <w:autoSpaceDN/>
        <w:jc w:val="both"/>
        <w:textAlignment w:val="auto"/>
        <w:rPr>
          <w:rFonts w:ascii="Arial" w:eastAsia="Times New Roman" w:hAnsi="Arial"/>
          <w:b/>
          <w:bCs/>
          <w:kern w:val="0"/>
          <w:sz w:val="22"/>
          <w:szCs w:val="22"/>
          <w:lang w:eastAsia="pt-BR" w:bidi="ar-SA"/>
        </w:rPr>
      </w:pPr>
      <w:r w:rsidRPr="00260BE2">
        <w:rPr>
          <w:rFonts w:ascii="Arial" w:hAnsi="Arial"/>
          <w:b/>
          <w:bCs/>
          <w:sz w:val="22"/>
          <w:szCs w:val="22"/>
        </w:rPr>
        <w:t>DAS OBRIGAÇÕES DO CONTRATANTE E CONTRATADA</w:t>
      </w:r>
    </w:p>
    <w:p w14:paraId="10C321C4" w14:textId="77777777" w:rsidR="00280822" w:rsidRPr="00260BE2" w:rsidRDefault="00280822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/>
          <w:sz w:val="22"/>
          <w:szCs w:val="22"/>
        </w:rPr>
      </w:pPr>
    </w:p>
    <w:p w14:paraId="2D765B67" w14:textId="7FF262BE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SÃO OBRIGAÇÕES DA CONTRATADA</w:t>
      </w:r>
    </w:p>
    <w:p w14:paraId="309D39FD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lastRenderedPageBreak/>
        <w:t>Executar o objeto da forma ajustada;</w:t>
      </w:r>
    </w:p>
    <w:p w14:paraId="1AC661E6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Atender aos encargos trabalhistas, previdenciários, fiscais e comerciais decorrentes da execução do presente contrato;</w:t>
      </w:r>
    </w:p>
    <w:p w14:paraId="47A676DE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Manter durante toda a execução do contrato, em compatibilidade com as obrigações por ela assumidas, todas as condições de habilitação e qualificação exigidas na licitação;</w:t>
      </w:r>
    </w:p>
    <w:p w14:paraId="582AF2F8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 CONTRATADA, não poderá ceder ou transferir a terceiros os direitos e obrigações decorrentes deste Contrato.</w:t>
      </w:r>
    </w:p>
    <w:p w14:paraId="02B80983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Caberá ainda a Contratada:</w:t>
      </w:r>
    </w:p>
    <w:p w14:paraId="69518BE7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a.</w:t>
      </w:r>
      <w:r w:rsidRPr="00260BE2">
        <w:rPr>
          <w:rFonts w:ascii="Arial" w:eastAsia="Times New Roman" w:hAnsi="Arial"/>
          <w:bCs/>
          <w:sz w:val="22"/>
          <w:szCs w:val="22"/>
        </w:rPr>
        <w:tab/>
        <w:t xml:space="preserve">Cumprir integralmente todos os itens constantes do presente Contrato; </w:t>
      </w:r>
    </w:p>
    <w:p w14:paraId="7871084A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b.</w:t>
      </w:r>
      <w:r w:rsidRPr="00260BE2">
        <w:rPr>
          <w:rFonts w:ascii="Arial" w:eastAsia="Times New Roman" w:hAnsi="Arial"/>
          <w:bCs/>
          <w:sz w:val="22"/>
          <w:szCs w:val="22"/>
        </w:rPr>
        <w:tab/>
        <w:t xml:space="preserve">Assumir total responsabilidade por seus empregados e/ou prepostos que venham a fornecer os objetos decorrentes do presente Contrato, sendo que o CONTRATANTE não terá nenhuma relação ou vínculo contratual de natureza trabalhista, cuja responsabilidade será tão somente da CONTRATADA, sendo esta titular e responsável pelos direitos, obrigações e ações decorrentes, pagamento dos salários e demais ônus, recolhimento de todos os encargos sociais e tributos pertinentes, indenização por quaisquer acidentes que seus empregados possam ser vítimas ou derem causa, quando em serviço, na forma como é expressa e considerada nos arts. 3º e 6º do Regulamento de Seguro de Acidente de Trabalho, aprovado pelo Decreto n.º 61.784/67; </w:t>
      </w:r>
    </w:p>
    <w:p w14:paraId="2357FAE4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c.</w:t>
      </w:r>
      <w:r w:rsidRPr="00260BE2">
        <w:rPr>
          <w:rFonts w:ascii="Arial" w:eastAsia="Times New Roman" w:hAnsi="Arial"/>
          <w:bCs/>
          <w:sz w:val="22"/>
          <w:szCs w:val="22"/>
        </w:rPr>
        <w:tab/>
        <w:t>Responsabilizar-se pelos danos que causar ao CONTRATANTE ou a terceiros, por si ou por seus sucessores e representantes, no fornecimento dos objetos ora contratados, isentando o CONTRATANTE de toda e qualquer reclamação que possa surgir em decorrência dos mesmos;</w:t>
      </w:r>
    </w:p>
    <w:p w14:paraId="0140C7FC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d.</w:t>
      </w:r>
      <w:r w:rsidRPr="00260BE2">
        <w:rPr>
          <w:rFonts w:ascii="Arial" w:eastAsia="Times New Roman" w:hAnsi="Arial"/>
          <w:bCs/>
          <w:sz w:val="22"/>
          <w:szCs w:val="22"/>
        </w:rPr>
        <w:tab/>
        <w:t>Dar cumprimento às obrigações de natureza trabalhista, fiscais, previdenciárias e outras que lhe são correlatas;</w:t>
      </w:r>
    </w:p>
    <w:p w14:paraId="2D44C924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e.</w:t>
      </w:r>
      <w:r w:rsidRPr="00260BE2">
        <w:rPr>
          <w:rFonts w:ascii="Arial" w:eastAsia="Times New Roman" w:hAnsi="Arial"/>
          <w:bCs/>
          <w:sz w:val="22"/>
          <w:szCs w:val="22"/>
        </w:rPr>
        <w:tab/>
        <w:t xml:space="preserve">Apresentar, sempre que solicitado, durante a execução do contrato, documentos que comprovem estar cumprindo a legislação em vigor quanto as obrigações assumidas na licitação, em especial, encargos sociais, trabalhistas, previdenciários, tributários, fiscais e comerciais; </w:t>
      </w:r>
    </w:p>
    <w:p w14:paraId="42E54591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f.</w:t>
      </w:r>
      <w:r w:rsidRPr="00260BE2">
        <w:rPr>
          <w:rFonts w:ascii="Arial" w:eastAsia="Times New Roman" w:hAnsi="Arial"/>
          <w:bCs/>
          <w:sz w:val="22"/>
          <w:szCs w:val="22"/>
        </w:rPr>
        <w:tab/>
        <w:t>Estar à disposição do CONTRATANTE sempre que solicitado;</w:t>
      </w:r>
    </w:p>
    <w:p w14:paraId="70AAA8B2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g.</w:t>
      </w:r>
      <w:r w:rsidRPr="00260BE2">
        <w:rPr>
          <w:rFonts w:ascii="Arial" w:eastAsia="Times New Roman" w:hAnsi="Arial"/>
          <w:bCs/>
          <w:sz w:val="22"/>
          <w:szCs w:val="22"/>
        </w:rPr>
        <w:tab/>
        <w:t>Cumprir todas as exigências contidas no Edital que originou o Contrato;</w:t>
      </w:r>
    </w:p>
    <w:p w14:paraId="5E16B517" w14:textId="54E26F6A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h. Adotar todas as medidas de cautela tendentes a evitar danos materiais e pessoais aos objetos transportados e terceiros, ficando sempre responsável pelas </w:t>
      </w:r>
      <w:r w:rsidR="00F50D06" w:rsidRPr="00260BE2">
        <w:rPr>
          <w:rFonts w:ascii="Arial" w:eastAsia="Times New Roman" w:hAnsi="Arial"/>
          <w:bCs/>
          <w:sz w:val="22"/>
          <w:szCs w:val="22"/>
        </w:rPr>
        <w:t>consequências</w:t>
      </w:r>
      <w:r w:rsidRPr="00260BE2">
        <w:rPr>
          <w:rFonts w:ascii="Arial" w:eastAsia="Times New Roman" w:hAnsi="Arial"/>
          <w:bCs/>
          <w:sz w:val="22"/>
          <w:szCs w:val="22"/>
        </w:rPr>
        <w:t xml:space="preserve"> originárias e acidentes que se verificarem;</w:t>
      </w:r>
    </w:p>
    <w:p w14:paraId="282E1A15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 Contratada deve cumprir todas as obrigações constantes no Edital, seus anexos e sua proposta, assumindo como exclusivamente seus os riscos e as despesas decorrentes da boa e perfeita execução do objeto e, ainda:</w:t>
      </w:r>
    </w:p>
    <w:p w14:paraId="0BAB7298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garantia ou validade;</w:t>
      </w:r>
    </w:p>
    <w:p w14:paraId="4B57F853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O objeto deve estar acompanhado do manual do usuário, com uma versão em português e da relação da rede de assistência técnica autorizada;</w:t>
      </w:r>
    </w:p>
    <w:p w14:paraId="08DE7075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Responsabilizar-se pelos vícios e danos decorrentes do objeto, de acordo com os artigos 12, 13 e 17 a 27, do Código de Defesa do Consumidor (Lei nº 8.078, de 1990);</w:t>
      </w:r>
    </w:p>
    <w:p w14:paraId="588CE5FC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Substituir, reparar ou corrigir, às suas expensas, no prazo fixado neste Contrato, o objeto com avarias ou defeitos;</w:t>
      </w:r>
    </w:p>
    <w:p w14:paraId="305FD834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Comunicar à Contratante, no prazo máximo de 24 (vinte e quatro) horas que antecede a data da entrega, os motivos que impossibilitem o cumprimento do prazo previsto, com a devida comprovação;</w:t>
      </w:r>
    </w:p>
    <w:p w14:paraId="67F60CB1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lastRenderedPageBreak/>
        <w:t>Manter, durante toda a execução do contrato, em compatibilidade com as obrigações assumidas, todas as condições de habilitação e qualificação exigidas na licitação;</w:t>
      </w:r>
    </w:p>
    <w:p w14:paraId="6551DF47" w14:textId="77777777" w:rsidR="00191809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Indicar preposto para representá-la durante a execução do contrato</w:t>
      </w:r>
      <w:r w:rsidR="00191809" w:rsidRPr="00260BE2">
        <w:rPr>
          <w:rFonts w:ascii="Arial" w:eastAsia="Times New Roman" w:hAnsi="Arial"/>
          <w:bCs/>
          <w:sz w:val="22"/>
          <w:szCs w:val="22"/>
        </w:rPr>
        <w:t>;</w:t>
      </w:r>
    </w:p>
    <w:p w14:paraId="54C3D7DC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</w:p>
    <w:p w14:paraId="783CF766" w14:textId="608D529B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SÃO OBRIGAÇÕES DO CONTRATANTE</w:t>
      </w:r>
    </w:p>
    <w:p w14:paraId="55EBF425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Além das naturalmente decorrentes do contrato, constituem obrigações do MUNICÍPIO:</w:t>
      </w:r>
    </w:p>
    <w:p w14:paraId="58022574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Pagar o valor constante no contrato dentro do prazo avençado;</w:t>
      </w:r>
    </w:p>
    <w:p w14:paraId="6563B033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Dar a Contratada as condições necessárias a garantir a execução de Contrato</w:t>
      </w:r>
    </w:p>
    <w:p w14:paraId="3C6B854C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Receber o objeto no prazo e condições estabelecidas no Edital e seus anexos;</w:t>
      </w:r>
    </w:p>
    <w:p w14:paraId="03E57640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Verificar minuciosamente, no prazo fixado, a conformidade dos bens recebidos provisoriamente com as especificações constantes do Edital e da proposta, para fins de aceitação e recebimento definitivo;</w:t>
      </w:r>
    </w:p>
    <w:p w14:paraId="14F62D39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Comunicar à Contratada, por escrito, sobre imperfeições, falhas ou irregularidades verificadas no objeto fornecido, para que seja substituído, reparado ou corrigido;</w:t>
      </w:r>
    </w:p>
    <w:p w14:paraId="4331B17C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Acompanhar e fiscalizar o cumprimento das obrigações da Contratada, através de comissão/servidor especialmente designado;</w:t>
      </w:r>
    </w:p>
    <w:p w14:paraId="6472AA5A" w14:textId="77777777" w:rsidR="003B0037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Efetuar o pagamento à Contratada no valor correspondente ao fornecimento do objeto, no prazo e forma estabelecidos no Edital e seus anexos;</w:t>
      </w:r>
    </w:p>
    <w:p w14:paraId="1DFE2367" w14:textId="77777777" w:rsidR="00191809" w:rsidRPr="00260BE2" w:rsidRDefault="003B0037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</w:t>
      </w:r>
      <w:r w:rsidR="00191809" w:rsidRPr="00260BE2">
        <w:rPr>
          <w:rFonts w:ascii="Arial" w:eastAsia="Times New Roman" w:hAnsi="Arial"/>
          <w:bCs/>
          <w:sz w:val="22"/>
          <w:szCs w:val="22"/>
        </w:rPr>
        <w:t>.</w:t>
      </w:r>
    </w:p>
    <w:p w14:paraId="39A0DEB1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</w:p>
    <w:p w14:paraId="72732BAD" w14:textId="77777777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 xml:space="preserve">DA SUBCONTRATAÇÃO </w:t>
      </w:r>
    </w:p>
    <w:p w14:paraId="475F7220" w14:textId="3A064B42" w:rsidR="00191809" w:rsidRPr="00260BE2" w:rsidRDefault="00191809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Não será admitida a subcontratação do objeto contratual, devendo o objeto desta licitação ser fornecido/prestado em sua integralidade pelo vencedor do processo</w:t>
      </w:r>
      <w:r w:rsidR="00EC588E" w:rsidRPr="00260BE2">
        <w:rPr>
          <w:rFonts w:ascii="Arial" w:eastAsia="Times New Roman" w:hAnsi="Arial"/>
          <w:bCs/>
          <w:sz w:val="22"/>
          <w:szCs w:val="22"/>
        </w:rPr>
        <w:t>.</w:t>
      </w:r>
    </w:p>
    <w:p w14:paraId="33AA0D38" w14:textId="77777777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sz w:val="22"/>
          <w:szCs w:val="22"/>
        </w:rPr>
      </w:pPr>
    </w:p>
    <w:p w14:paraId="1DC9DDC9" w14:textId="77777777" w:rsidR="00191809" w:rsidRPr="00260BE2" w:rsidRDefault="00191809" w:rsidP="00DD6745">
      <w:pPr>
        <w:pStyle w:val="Standard"/>
        <w:numPr>
          <w:ilvl w:val="0"/>
          <w:numId w:val="3"/>
        </w:numPr>
        <w:shd w:val="clear" w:color="auto" w:fill="D0CECE" w:themeFill="background2" w:themeFillShade="E6"/>
        <w:ind w:left="641"/>
        <w:jc w:val="both"/>
        <w:rPr>
          <w:rFonts w:ascii="Arial" w:hAnsi="Arial"/>
          <w:b/>
          <w:sz w:val="22"/>
          <w:szCs w:val="22"/>
        </w:rPr>
      </w:pPr>
      <w:r w:rsidRPr="00260BE2">
        <w:rPr>
          <w:rFonts w:ascii="Arial" w:hAnsi="Arial"/>
          <w:b/>
          <w:sz w:val="22"/>
          <w:szCs w:val="22"/>
        </w:rPr>
        <w:t xml:space="preserve">DAS DISPOSIÇÕES FINAIS </w:t>
      </w:r>
    </w:p>
    <w:p w14:paraId="644E2396" w14:textId="77777777" w:rsidR="00191809" w:rsidRPr="00260BE2" w:rsidRDefault="00191809" w:rsidP="00191809">
      <w:pPr>
        <w:pStyle w:val="Standard"/>
        <w:ind w:left="641"/>
        <w:jc w:val="both"/>
        <w:rPr>
          <w:rFonts w:ascii="Arial" w:hAnsi="Arial"/>
          <w:sz w:val="22"/>
          <w:szCs w:val="22"/>
        </w:rPr>
      </w:pPr>
    </w:p>
    <w:p w14:paraId="32FAB33C" w14:textId="04F6B990" w:rsidR="00E53D58" w:rsidRPr="00260BE2" w:rsidRDefault="00E53D58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 xml:space="preserve">Em caso de informações omissas, este Processo Licitatório e todos os seus atos ocorrerão em conformidade com o que rege a Lei 14.133/2021 e o Decreto Municipal n° </w:t>
      </w:r>
      <w:r w:rsidR="00750E03" w:rsidRPr="00260BE2">
        <w:rPr>
          <w:rFonts w:ascii="Arial" w:eastAsia="Times New Roman" w:hAnsi="Arial"/>
          <w:bCs/>
          <w:sz w:val="22"/>
          <w:szCs w:val="22"/>
        </w:rPr>
        <w:t>015/2025</w:t>
      </w:r>
      <w:r w:rsidR="00EC588E" w:rsidRPr="00260BE2">
        <w:rPr>
          <w:rFonts w:ascii="Arial" w:eastAsia="Times New Roman" w:hAnsi="Arial"/>
          <w:bCs/>
          <w:sz w:val="22"/>
          <w:szCs w:val="22"/>
        </w:rPr>
        <w:t>.</w:t>
      </w:r>
    </w:p>
    <w:p w14:paraId="56BAE321" w14:textId="06DD8BA8" w:rsidR="00E53D58" w:rsidRPr="00260BE2" w:rsidRDefault="00E53D58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  <w:r w:rsidRPr="00260BE2">
        <w:rPr>
          <w:rFonts w:ascii="Arial" w:eastAsia="Times New Roman" w:hAnsi="Arial"/>
          <w:bCs/>
          <w:sz w:val="22"/>
          <w:szCs w:val="22"/>
        </w:rPr>
        <w:t>Declaro estar ciente de todas as implicações pelas informações prestadas no presente</w:t>
      </w:r>
      <w:r w:rsidR="00EC588E" w:rsidRPr="00260BE2">
        <w:rPr>
          <w:rFonts w:ascii="Arial" w:eastAsia="Times New Roman" w:hAnsi="Arial"/>
          <w:bCs/>
          <w:sz w:val="22"/>
          <w:szCs w:val="22"/>
        </w:rPr>
        <w:t xml:space="preserve"> </w:t>
      </w:r>
      <w:r w:rsidRPr="00260BE2">
        <w:rPr>
          <w:rFonts w:ascii="Arial" w:eastAsia="Times New Roman" w:hAnsi="Arial"/>
          <w:bCs/>
          <w:sz w:val="22"/>
          <w:szCs w:val="22"/>
        </w:rPr>
        <w:t>Termo de Referência e em relação a elas assumimos de forma solidária a responsabilidade</w:t>
      </w:r>
      <w:r w:rsidR="00EC588E" w:rsidRPr="00260BE2">
        <w:rPr>
          <w:rFonts w:ascii="Arial" w:eastAsia="Times New Roman" w:hAnsi="Arial"/>
          <w:bCs/>
          <w:sz w:val="22"/>
          <w:szCs w:val="22"/>
        </w:rPr>
        <w:t>.</w:t>
      </w:r>
    </w:p>
    <w:p w14:paraId="0809834C" w14:textId="77777777" w:rsidR="00E53D58" w:rsidRPr="00260BE2" w:rsidRDefault="00E53D58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Cs/>
          <w:sz w:val="22"/>
          <w:szCs w:val="22"/>
        </w:rPr>
      </w:pPr>
    </w:p>
    <w:p w14:paraId="6FFEB8F2" w14:textId="77777777" w:rsidR="00E53D58" w:rsidRPr="00260BE2" w:rsidRDefault="00E53D58" w:rsidP="00280822">
      <w:pPr>
        <w:pStyle w:val="Standard"/>
        <w:spacing w:line="276" w:lineRule="auto"/>
        <w:ind w:left="686" w:firstLine="448"/>
        <w:jc w:val="both"/>
        <w:rPr>
          <w:rFonts w:ascii="Arial" w:eastAsia="Times New Roman" w:hAnsi="Arial"/>
          <w:b/>
          <w:sz w:val="22"/>
          <w:szCs w:val="22"/>
        </w:rPr>
      </w:pPr>
      <w:r w:rsidRPr="00260BE2">
        <w:rPr>
          <w:rFonts w:ascii="Arial" w:eastAsia="Times New Roman" w:hAnsi="Arial"/>
          <w:b/>
          <w:sz w:val="22"/>
          <w:szCs w:val="22"/>
        </w:rPr>
        <w:t>Nestes termos, pede-se prosseguimento.</w:t>
      </w:r>
    </w:p>
    <w:p w14:paraId="1A0A20EA" w14:textId="64CAA373" w:rsidR="00E53D58" w:rsidRPr="00260BE2" w:rsidRDefault="00EC588E" w:rsidP="00E53D58">
      <w:pPr>
        <w:pStyle w:val="Standard"/>
        <w:spacing w:line="276" w:lineRule="auto"/>
        <w:ind w:firstLine="1134"/>
        <w:jc w:val="right"/>
        <w:rPr>
          <w:rFonts w:ascii="Arial" w:eastAsia="Times New Roman" w:hAnsi="Arial"/>
          <w:kern w:val="0"/>
          <w:sz w:val="22"/>
          <w:szCs w:val="22"/>
          <w:lang w:eastAsia="pt-BR" w:bidi="ar-SA"/>
        </w:rPr>
      </w:pPr>
      <w:r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Iporã</w:t>
      </w:r>
      <w:r w:rsidR="00E53D58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- PR, </w:t>
      </w:r>
      <w:r w:rsidR="001E5E69">
        <w:rPr>
          <w:rFonts w:ascii="Arial" w:eastAsia="Times New Roman" w:hAnsi="Arial"/>
          <w:kern w:val="0"/>
          <w:sz w:val="22"/>
          <w:szCs w:val="22"/>
          <w:lang w:eastAsia="pt-BR" w:bidi="ar-SA"/>
        </w:rPr>
        <w:t>1</w:t>
      </w:r>
      <w:r w:rsidR="0048641A">
        <w:rPr>
          <w:rFonts w:ascii="Arial" w:eastAsia="Times New Roman" w:hAnsi="Arial"/>
          <w:kern w:val="0"/>
          <w:sz w:val="22"/>
          <w:szCs w:val="22"/>
          <w:lang w:eastAsia="pt-BR" w:bidi="ar-SA"/>
        </w:rPr>
        <w:t>9</w:t>
      </w:r>
      <w:r w:rsidR="0083732B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</w:t>
      </w:r>
      <w:r w:rsidR="006E5A1E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de </w:t>
      </w:r>
      <w:r w:rsidR="00187136">
        <w:rPr>
          <w:rFonts w:ascii="Arial" w:eastAsia="Times New Roman" w:hAnsi="Arial"/>
          <w:kern w:val="0"/>
          <w:sz w:val="22"/>
          <w:szCs w:val="22"/>
          <w:lang w:eastAsia="pt-BR" w:bidi="ar-SA"/>
        </w:rPr>
        <w:t>fevereiro</w:t>
      </w:r>
      <w:r w:rsidR="00E53D58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</w:t>
      </w:r>
      <w:r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de</w:t>
      </w:r>
      <w:r w:rsidR="00E53D58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 xml:space="preserve"> 202</w:t>
      </w:r>
      <w:r w:rsidR="000B446D">
        <w:rPr>
          <w:rFonts w:ascii="Arial" w:eastAsia="Times New Roman" w:hAnsi="Arial"/>
          <w:kern w:val="0"/>
          <w:sz w:val="22"/>
          <w:szCs w:val="22"/>
          <w:lang w:eastAsia="pt-BR" w:bidi="ar-SA"/>
        </w:rPr>
        <w:t>6</w:t>
      </w:r>
      <w:r w:rsidR="00B97114" w:rsidRPr="00260BE2">
        <w:rPr>
          <w:rFonts w:ascii="Arial" w:eastAsia="Times New Roman" w:hAnsi="Arial"/>
          <w:kern w:val="0"/>
          <w:sz w:val="22"/>
          <w:szCs w:val="22"/>
          <w:lang w:eastAsia="pt-BR" w:bidi="ar-SA"/>
        </w:rPr>
        <w:t>.</w:t>
      </w:r>
    </w:p>
    <w:p w14:paraId="119D745F" w14:textId="626C9DBF" w:rsidR="00E53D58" w:rsidRPr="00260BE2" w:rsidRDefault="00E53D58" w:rsidP="00E53D58">
      <w:pPr>
        <w:pStyle w:val="Standard"/>
        <w:spacing w:line="276" w:lineRule="auto"/>
        <w:jc w:val="center"/>
        <w:rPr>
          <w:rFonts w:ascii="Arial" w:eastAsia="Times New Roman" w:hAnsi="Arial"/>
          <w:b/>
          <w:bCs/>
          <w:color w:val="FF0000"/>
          <w:kern w:val="0"/>
          <w:sz w:val="22"/>
          <w:szCs w:val="22"/>
          <w:lang w:eastAsia="pt-BR" w:bidi="ar-SA"/>
        </w:rPr>
      </w:pPr>
    </w:p>
    <w:p w14:paraId="10FEAAC6" w14:textId="77777777" w:rsidR="006E5A1E" w:rsidRPr="00260BE2" w:rsidRDefault="006E5A1E" w:rsidP="00E53D58">
      <w:pPr>
        <w:pStyle w:val="Standard"/>
        <w:spacing w:line="276" w:lineRule="auto"/>
        <w:jc w:val="center"/>
        <w:rPr>
          <w:rFonts w:ascii="Arial" w:eastAsia="Times New Roman" w:hAnsi="Arial"/>
          <w:b/>
          <w:bCs/>
          <w:color w:val="FF0000"/>
          <w:kern w:val="0"/>
          <w:sz w:val="22"/>
          <w:szCs w:val="22"/>
          <w:lang w:eastAsia="pt-BR" w:bidi="ar-SA"/>
        </w:rPr>
      </w:pPr>
    </w:p>
    <w:p w14:paraId="763E36DF" w14:textId="77777777" w:rsidR="006E5A1E" w:rsidRDefault="006E5A1E" w:rsidP="00E53D58">
      <w:pPr>
        <w:pStyle w:val="Standard"/>
        <w:spacing w:line="276" w:lineRule="auto"/>
        <w:jc w:val="center"/>
        <w:rPr>
          <w:rFonts w:ascii="Arial" w:eastAsia="Times New Roman" w:hAnsi="Arial"/>
          <w:b/>
          <w:bCs/>
          <w:color w:val="FF0000"/>
          <w:kern w:val="0"/>
          <w:sz w:val="22"/>
          <w:szCs w:val="22"/>
          <w:lang w:eastAsia="pt-BR" w:bidi="ar-SA"/>
        </w:rPr>
      </w:pPr>
    </w:p>
    <w:p w14:paraId="7E14BBEA" w14:textId="77777777" w:rsidR="000B481F" w:rsidRPr="00260BE2" w:rsidRDefault="000B481F" w:rsidP="00E53D58">
      <w:pPr>
        <w:pStyle w:val="Standard"/>
        <w:spacing w:line="276" w:lineRule="auto"/>
        <w:jc w:val="center"/>
        <w:rPr>
          <w:rFonts w:ascii="Arial" w:eastAsia="Times New Roman" w:hAnsi="Arial"/>
          <w:b/>
          <w:bCs/>
          <w:color w:val="FF0000"/>
          <w:kern w:val="0"/>
          <w:sz w:val="22"/>
          <w:szCs w:val="22"/>
          <w:lang w:eastAsia="pt-BR" w:bidi="ar-SA"/>
        </w:rPr>
      </w:pPr>
    </w:p>
    <w:p w14:paraId="6BDE0812" w14:textId="77777777" w:rsidR="006E5A1E" w:rsidRPr="00260BE2" w:rsidRDefault="006E5A1E" w:rsidP="00E53D58">
      <w:pPr>
        <w:pStyle w:val="Standard"/>
        <w:spacing w:line="276" w:lineRule="auto"/>
        <w:jc w:val="center"/>
        <w:rPr>
          <w:rFonts w:ascii="Arial" w:eastAsia="Times New Roman" w:hAnsi="Arial"/>
          <w:b/>
          <w:bCs/>
          <w:color w:val="FF0000"/>
          <w:kern w:val="0"/>
          <w:sz w:val="22"/>
          <w:szCs w:val="22"/>
          <w:lang w:eastAsia="pt-BR" w:bidi="ar-SA"/>
        </w:rPr>
      </w:pPr>
    </w:p>
    <w:p w14:paraId="3180079E" w14:textId="77777777" w:rsidR="001E5E69" w:rsidRPr="001E5E69" w:rsidRDefault="001E5E69" w:rsidP="001E5E69">
      <w:pPr>
        <w:suppressAutoHyphens w:val="0"/>
        <w:autoSpaceDN/>
        <w:spacing w:line="276" w:lineRule="auto"/>
        <w:jc w:val="center"/>
        <w:textAlignment w:val="auto"/>
        <w:rPr>
          <w:rFonts w:ascii="Arial" w:hAnsi="Arial"/>
          <w:b/>
          <w:sz w:val="22"/>
          <w:szCs w:val="22"/>
        </w:rPr>
      </w:pPr>
      <w:r w:rsidRPr="001E5E69">
        <w:rPr>
          <w:rFonts w:ascii="Arial" w:hAnsi="Arial"/>
          <w:b/>
          <w:sz w:val="22"/>
          <w:szCs w:val="22"/>
        </w:rPr>
        <w:t>Wesley Celestino da Silva</w:t>
      </w:r>
    </w:p>
    <w:p w14:paraId="5902DDCB" w14:textId="17B0F7A4" w:rsidR="007461EA" w:rsidRPr="001E5E69" w:rsidRDefault="001E5E69" w:rsidP="001E5E69">
      <w:pPr>
        <w:suppressAutoHyphens w:val="0"/>
        <w:autoSpaceDN/>
        <w:spacing w:line="276" w:lineRule="auto"/>
        <w:jc w:val="center"/>
        <w:textAlignment w:val="auto"/>
        <w:rPr>
          <w:rFonts w:ascii="Arial" w:hAnsi="Arial"/>
          <w:bCs/>
          <w:sz w:val="22"/>
          <w:szCs w:val="22"/>
        </w:rPr>
      </w:pPr>
      <w:r w:rsidRPr="001E5E69">
        <w:rPr>
          <w:rFonts w:ascii="Arial" w:hAnsi="Arial"/>
          <w:bCs/>
          <w:sz w:val="22"/>
          <w:szCs w:val="22"/>
        </w:rPr>
        <w:t>Secretário de Infraestrutura Urbana</w:t>
      </w:r>
      <w:r w:rsidR="0083732B" w:rsidRPr="001E5E69">
        <w:rPr>
          <w:rFonts w:ascii="Arial" w:hAnsi="Arial"/>
          <w:bCs/>
          <w:sz w:val="22"/>
          <w:szCs w:val="22"/>
        </w:rPr>
        <w:t>.</w:t>
      </w:r>
    </w:p>
    <w:sectPr w:rsidR="007461EA" w:rsidRPr="001E5E69" w:rsidSect="00317E1D">
      <w:headerReference w:type="default" r:id="rId9"/>
      <w:pgSz w:w="11906" w:h="16838"/>
      <w:pgMar w:top="1276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7062F" w14:textId="77777777" w:rsidR="0008511A" w:rsidRDefault="0008511A" w:rsidP="007461EA">
      <w:r>
        <w:separator/>
      </w:r>
    </w:p>
  </w:endnote>
  <w:endnote w:type="continuationSeparator" w:id="0">
    <w:p w14:paraId="3DDCBA55" w14:textId="77777777" w:rsidR="0008511A" w:rsidRDefault="0008511A" w:rsidP="00746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24418" w14:textId="77777777" w:rsidR="0008511A" w:rsidRDefault="0008511A" w:rsidP="007461EA">
      <w:r>
        <w:separator/>
      </w:r>
    </w:p>
  </w:footnote>
  <w:footnote w:type="continuationSeparator" w:id="0">
    <w:p w14:paraId="3356C0E4" w14:textId="77777777" w:rsidR="0008511A" w:rsidRDefault="0008511A" w:rsidP="00746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2E42" w14:textId="5B7A1BEA" w:rsidR="00317E1D" w:rsidRDefault="00317E1D" w:rsidP="00317E1D">
    <w:pPr>
      <w:pStyle w:val="Cabealho"/>
      <w:rPr>
        <w:rFonts w:asciiTheme="minorHAnsi" w:eastAsiaTheme="minorEastAsia" w:hAnsiTheme="minorHAnsi" w:cstheme="minorBidi"/>
        <w:kern w:val="0"/>
        <w:sz w:val="22"/>
        <w:szCs w:val="22"/>
        <w:lang w:eastAsia="pt-BR" w:bidi="ar-SA"/>
      </w:rPr>
    </w:pPr>
    <w:r>
      <w:rPr>
        <w:rFonts w:asciiTheme="minorHAnsi" w:eastAsiaTheme="minorEastAsia" w:hAnsiTheme="minorHAnsi" w:cstheme="minorBidi"/>
        <w:noProof/>
        <w:sz w:val="22"/>
        <w:szCs w:val="22"/>
        <w:lang w:eastAsia="pt-BR" w:bidi="ar-SA"/>
      </w:rPr>
      <w:drawing>
        <wp:anchor distT="0" distB="0" distL="0" distR="0" simplePos="0" relativeHeight="251659264" behindDoc="0" locked="0" layoutInCell="1" allowOverlap="1" wp14:anchorId="6B7AFA60" wp14:editId="01109D2A">
          <wp:simplePos x="0" y="0"/>
          <wp:positionH relativeFrom="page">
            <wp:posOffset>152400</wp:posOffset>
          </wp:positionH>
          <wp:positionV relativeFrom="paragraph">
            <wp:posOffset>-318135</wp:posOffset>
          </wp:positionV>
          <wp:extent cx="1836420" cy="616585"/>
          <wp:effectExtent l="0" t="0" r="0" b="0"/>
          <wp:wrapNone/>
          <wp:docPr id="7" name="Imagem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616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F1C843" w14:textId="0B10139F" w:rsidR="00ED6030" w:rsidRPr="00317E1D" w:rsidRDefault="00ED6030" w:rsidP="00317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A0FEE"/>
    <w:multiLevelType w:val="hybridMultilevel"/>
    <w:tmpl w:val="B9A0CC08"/>
    <w:lvl w:ilvl="0" w:tplc="0D7C9798">
      <w:start w:val="1"/>
      <w:numFmt w:val="decimal"/>
      <w:lvlText w:val="%1."/>
      <w:lvlJc w:val="left"/>
      <w:pPr>
        <w:ind w:left="1046" w:hanging="360"/>
      </w:pPr>
      <w:rPr>
        <w:rFonts w:hint="default"/>
        <w:b/>
      </w:rPr>
    </w:lvl>
    <w:lvl w:ilvl="1" w:tplc="03E608A0">
      <w:numFmt w:val="bullet"/>
      <w:lvlText w:val="•"/>
      <w:lvlJc w:val="left"/>
      <w:pPr>
        <w:ind w:left="2186" w:hanging="780"/>
      </w:pPr>
      <w:rPr>
        <w:rFonts w:ascii="Arial" w:eastAsia="NSimSun" w:hAnsi="Arial" w:cs="Arial" w:hint="default"/>
      </w:rPr>
    </w:lvl>
    <w:lvl w:ilvl="2" w:tplc="0416001B" w:tentative="1">
      <w:start w:val="1"/>
      <w:numFmt w:val="lowerRoman"/>
      <w:lvlText w:val="%3."/>
      <w:lvlJc w:val="right"/>
      <w:pPr>
        <w:ind w:left="2486" w:hanging="180"/>
      </w:pPr>
    </w:lvl>
    <w:lvl w:ilvl="3" w:tplc="0416000F" w:tentative="1">
      <w:start w:val="1"/>
      <w:numFmt w:val="decimal"/>
      <w:lvlText w:val="%4."/>
      <w:lvlJc w:val="left"/>
      <w:pPr>
        <w:ind w:left="3206" w:hanging="360"/>
      </w:pPr>
    </w:lvl>
    <w:lvl w:ilvl="4" w:tplc="04160019" w:tentative="1">
      <w:start w:val="1"/>
      <w:numFmt w:val="lowerLetter"/>
      <w:lvlText w:val="%5."/>
      <w:lvlJc w:val="left"/>
      <w:pPr>
        <w:ind w:left="3926" w:hanging="360"/>
      </w:pPr>
    </w:lvl>
    <w:lvl w:ilvl="5" w:tplc="0416001B" w:tentative="1">
      <w:start w:val="1"/>
      <w:numFmt w:val="lowerRoman"/>
      <w:lvlText w:val="%6."/>
      <w:lvlJc w:val="right"/>
      <w:pPr>
        <w:ind w:left="4646" w:hanging="180"/>
      </w:pPr>
    </w:lvl>
    <w:lvl w:ilvl="6" w:tplc="0416000F" w:tentative="1">
      <w:start w:val="1"/>
      <w:numFmt w:val="decimal"/>
      <w:lvlText w:val="%7."/>
      <w:lvlJc w:val="left"/>
      <w:pPr>
        <w:ind w:left="5366" w:hanging="360"/>
      </w:pPr>
    </w:lvl>
    <w:lvl w:ilvl="7" w:tplc="04160019" w:tentative="1">
      <w:start w:val="1"/>
      <w:numFmt w:val="lowerLetter"/>
      <w:lvlText w:val="%8."/>
      <w:lvlJc w:val="left"/>
      <w:pPr>
        <w:ind w:left="6086" w:hanging="360"/>
      </w:pPr>
    </w:lvl>
    <w:lvl w:ilvl="8" w:tplc="0416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" w15:restartNumberingAfterBreak="0">
    <w:nsid w:val="0DFF24BD"/>
    <w:multiLevelType w:val="multilevel"/>
    <w:tmpl w:val="5254D3FC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5B7B39"/>
    <w:multiLevelType w:val="hybridMultilevel"/>
    <w:tmpl w:val="9572B0CC"/>
    <w:lvl w:ilvl="0" w:tplc="399EC0C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BB61444"/>
    <w:multiLevelType w:val="hybridMultilevel"/>
    <w:tmpl w:val="592A37A4"/>
    <w:lvl w:ilvl="0" w:tplc="F22C32E6">
      <w:start w:val="3"/>
      <w:numFmt w:val="bullet"/>
      <w:lvlText w:val=""/>
      <w:lvlJc w:val="left"/>
      <w:pPr>
        <w:ind w:left="1429" w:hanging="360"/>
      </w:pPr>
      <w:rPr>
        <w:rFonts w:ascii="Symbol" w:eastAsia="Calibr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5C87905"/>
    <w:multiLevelType w:val="multilevel"/>
    <w:tmpl w:val="5F105B2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61962FF"/>
    <w:multiLevelType w:val="multilevel"/>
    <w:tmpl w:val="285489F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BA52A9D"/>
    <w:multiLevelType w:val="multilevel"/>
    <w:tmpl w:val="2820C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1244032">
    <w:abstractNumId w:val="0"/>
  </w:num>
  <w:num w:numId="2" w16cid:durableId="1226145056">
    <w:abstractNumId w:val="4"/>
  </w:num>
  <w:num w:numId="3" w16cid:durableId="1179154388">
    <w:abstractNumId w:val="1"/>
  </w:num>
  <w:num w:numId="4" w16cid:durableId="1102340915">
    <w:abstractNumId w:val="6"/>
  </w:num>
  <w:num w:numId="5" w16cid:durableId="614874811">
    <w:abstractNumId w:val="3"/>
  </w:num>
  <w:num w:numId="6" w16cid:durableId="982736205">
    <w:abstractNumId w:val="2"/>
  </w:num>
  <w:num w:numId="7" w16cid:durableId="5689233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1EA"/>
    <w:rsid w:val="0000167D"/>
    <w:rsid w:val="00011708"/>
    <w:rsid w:val="000260FE"/>
    <w:rsid w:val="000429CA"/>
    <w:rsid w:val="00057071"/>
    <w:rsid w:val="000608DD"/>
    <w:rsid w:val="00061CDC"/>
    <w:rsid w:val="00081842"/>
    <w:rsid w:val="00084855"/>
    <w:rsid w:val="0008511A"/>
    <w:rsid w:val="00092A70"/>
    <w:rsid w:val="000B446D"/>
    <w:rsid w:val="000B481F"/>
    <w:rsid w:val="000C4A7A"/>
    <w:rsid w:val="000E0EE8"/>
    <w:rsid w:val="000E18D1"/>
    <w:rsid w:val="000E2636"/>
    <w:rsid w:val="000E44D1"/>
    <w:rsid w:val="000E44FA"/>
    <w:rsid w:val="000E6447"/>
    <w:rsid w:val="000E6934"/>
    <w:rsid w:val="000F5036"/>
    <w:rsid w:val="001052B2"/>
    <w:rsid w:val="0013115A"/>
    <w:rsid w:val="00132C27"/>
    <w:rsid w:val="001418AF"/>
    <w:rsid w:val="00165B1B"/>
    <w:rsid w:val="00185C3A"/>
    <w:rsid w:val="00187136"/>
    <w:rsid w:val="00191809"/>
    <w:rsid w:val="00197C84"/>
    <w:rsid w:val="001A05CA"/>
    <w:rsid w:val="001A275F"/>
    <w:rsid w:val="001A61D3"/>
    <w:rsid w:val="001B23B5"/>
    <w:rsid w:val="001B424B"/>
    <w:rsid w:val="001B70D3"/>
    <w:rsid w:val="001B77FB"/>
    <w:rsid w:val="001C217F"/>
    <w:rsid w:val="001C46DA"/>
    <w:rsid w:val="001E1E07"/>
    <w:rsid w:val="001E26C7"/>
    <w:rsid w:val="001E5204"/>
    <w:rsid w:val="001E5E69"/>
    <w:rsid w:val="001E754D"/>
    <w:rsid w:val="0020031D"/>
    <w:rsid w:val="00200EAD"/>
    <w:rsid w:val="00204C6E"/>
    <w:rsid w:val="00205285"/>
    <w:rsid w:val="002137F1"/>
    <w:rsid w:val="002202D0"/>
    <w:rsid w:val="0023118A"/>
    <w:rsid w:val="00231AB1"/>
    <w:rsid w:val="00244049"/>
    <w:rsid w:val="00255DEE"/>
    <w:rsid w:val="00260BE2"/>
    <w:rsid w:val="002678AA"/>
    <w:rsid w:val="00280822"/>
    <w:rsid w:val="002821CE"/>
    <w:rsid w:val="00284764"/>
    <w:rsid w:val="002859F1"/>
    <w:rsid w:val="00290330"/>
    <w:rsid w:val="0029145C"/>
    <w:rsid w:val="0029597E"/>
    <w:rsid w:val="00296AA7"/>
    <w:rsid w:val="002A1CB6"/>
    <w:rsid w:val="002A78C9"/>
    <w:rsid w:val="002B3119"/>
    <w:rsid w:val="002B34C6"/>
    <w:rsid w:val="002B4FB0"/>
    <w:rsid w:val="002B70F8"/>
    <w:rsid w:val="002B7AED"/>
    <w:rsid w:val="002D2B9F"/>
    <w:rsid w:val="002D407E"/>
    <w:rsid w:val="002D69B3"/>
    <w:rsid w:val="002E74BD"/>
    <w:rsid w:val="002F0F84"/>
    <w:rsid w:val="002F18C8"/>
    <w:rsid w:val="002F51EC"/>
    <w:rsid w:val="003066CB"/>
    <w:rsid w:val="00307CF9"/>
    <w:rsid w:val="003157E0"/>
    <w:rsid w:val="00317E1D"/>
    <w:rsid w:val="003341B0"/>
    <w:rsid w:val="00344E14"/>
    <w:rsid w:val="00344F61"/>
    <w:rsid w:val="00347919"/>
    <w:rsid w:val="00350EE7"/>
    <w:rsid w:val="00355857"/>
    <w:rsid w:val="00372C6D"/>
    <w:rsid w:val="00374260"/>
    <w:rsid w:val="00381B2F"/>
    <w:rsid w:val="00383929"/>
    <w:rsid w:val="0039345B"/>
    <w:rsid w:val="0039389D"/>
    <w:rsid w:val="003A172A"/>
    <w:rsid w:val="003A33C8"/>
    <w:rsid w:val="003A3F21"/>
    <w:rsid w:val="003B0037"/>
    <w:rsid w:val="003B1672"/>
    <w:rsid w:val="003C0FC5"/>
    <w:rsid w:val="003E4A51"/>
    <w:rsid w:val="003F1CBB"/>
    <w:rsid w:val="003F6FAD"/>
    <w:rsid w:val="00415652"/>
    <w:rsid w:val="00422278"/>
    <w:rsid w:val="00425903"/>
    <w:rsid w:val="004445A5"/>
    <w:rsid w:val="00452FD3"/>
    <w:rsid w:val="00456C36"/>
    <w:rsid w:val="00466AEA"/>
    <w:rsid w:val="00466F3A"/>
    <w:rsid w:val="00470A0B"/>
    <w:rsid w:val="004752D5"/>
    <w:rsid w:val="004771AE"/>
    <w:rsid w:val="00477EDE"/>
    <w:rsid w:val="00484600"/>
    <w:rsid w:val="0048641A"/>
    <w:rsid w:val="00486D20"/>
    <w:rsid w:val="00487824"/>
    <w:rsid w:val="00490EF5"/>
    <w:rsid w:val="004A0697"/>
    <w:rsid w:val="004A6D06"/>
    <w:rsid w:val="004B122E"/>
    <w:rsid w:val="004B5CF2"/>
    <w:rsid w:val="004C3DD5"/>
    <w:rsid w:val="004C4F5E"/>
    <w:rsid w:val="004D069F"/>
    <w:rsid w:val="004D56ED"/>
    <w:rsid w:val="00501C87"/>
    <w:rsid w:val="00510359"/>
    <w:rsid w:val="00512B07"/>
    <w:rsid w:val="00516359"/>
    <w:rsid w:val="00535E27"/>
    <w:rsid w:val="0053693B"/>
    <w:rsid w:val="0055194C"/>
    <w:rsid w:val="00552BB0"/>
    <w:rsid w:val="005643F0"/>
    <w:rsid w:val="0056622A"/>
    <w:rsid w:val="00595114"/>
    <w:rsid w:val="0059704A"/>
    <w:rsid w:val="005A262B"/>
    <w:rsid w:val="005A6583"/>
    <w:rsid w:val="005C4A17"/>
    <w:rsid w:val="005D1AAB"/>
    <w:rsid w:val="005D6796"/>
    <w:rsid w:val="005E13D6"/>
    <w:rsid w:val="005F2736"/>
    <w:rsid w:val="00617D69"/>
    <w:rsid w:val="00627B01"/>
    <w:rsid w:val="00640758"/>
    <w:rsid w:val="00640C14"/>
    <w:rsid w:val="006435F6"/>
    <w:rsid w:val="00645CDC"/>
    <w:rsid w:val="00651AE1"/>
    <w:rsid w:val="0065691A"/>
    <w:rsid w:val="00695A69"/>
    <w:rsid w:val="006A21CD"/>
    <w:rsid w:val="006A33E2"/>
    <w:rsid w:val="006A6157"/>
    <w:rsid w:val="006C0882"/>
    <w:rsid w:val="006C7AE9"/>
    <w:rsid w:val="006E0AEF"/>
    <w:rsid w:val="006E2F28"/>
    <w:rsid w:val="006E5A1E"/>
    <w:rsid w:val="006F4123"/>
    <w:rsid w:val="007103F8"/>
    <w:rsid w:val="00717B01"/>
    <w:rsid w:val="00721EC8"/>
    <w:rsid w:val="00722298"/>
    <w:rsid w:val="007224E6"/>
    <w:rsid w:val="00725C4F"/>
    <w:rsid w:val="00731D83"/>
    <w:rsid w:val="007448D4"/>
    <w:rsid w:val="00744FFB"/>
    <w:rsid w:val="007456B2"/>
    <w:rsid w:val="007461EA"/>
    <w:rsid w:val="007462E4"/>
    <w:rsid w:val="00750E03"/>
    <w:rsid w:val="00754C09"/>
    <w:rsid w:val="00755727"/>
    <w:rsid w:val="00761A10"/>
    <w:rsid w:val="00761B4B"/>
    <w:rsid w:val="007663AB"/>
    <w:rsid w:val="007663D5"/>
    <w:rsid w:val="0077079A"/>
    <w:rsid w:val="00774CC3"/>
    <w:rsid w:val="00782062"/>
    <w:rsid w:val="007939F5"/>
    <w:rsid w:val="00797A14"/>
    <w:rsid w:val="007A1212"/>
    <w:rsid w:val="007B11A1"/>
    <w:rsid w:val="007B7DE0"/>
    <w:rsid w:val="007C078E"/>
    <w:rsid w:val="007C4E1F"/>
    <w:rsid w:val="007E0884"/>
    <w:rsid w:val="007E6584"/>
    <w:rsid w:val="007F40A6"/>
    <w:rsid w:val="007F4271"/>
    <w:rsid w:val="00801D4D"/>
    <w:rsid w:val="008048BD"/>
    <w:rsid w:val="0080644E"/>
    <w:rsid w:val="00822CD5"/>
    <w:rsid w:val="008328D6"/>
    <w:rsid w:val="008358CB"/>
    <w:rsid w:val="0083732B"/>
    <w:rsid w:val="0084698E"/>
    <w:rsid w:val="008533D4"/>
    <w:rsid w:val="00853543"/>
    <w:rsid w:val="00865FA2"/>
    <w:rsid w:val="008717F7"/>
    <w:rsid w:val="00873592"/>
    <w:rsid w:val="00874D5E"/>
    <w:rsid w:val="00883C76"/>
    <w:rsid w:val="00886816"/>
    <w:rsid w:val="008A15BF"/>
    <w:rsid w:val="008B0627"/>
    <w:rsid w:val="008B39C3"/>
    <w:rsid w:val="008B4ED9"/>
    <w:rsid w:val="008B53CD"/>
    <w:rsid w:val="008B5DE6"/>
    <w:rsid w:val="008C0B7D"/>
    <w:rsid w:val="008D1920"/>
    <w:rsid w:val="008E3621"/>
    <w:rsid w:val="008E5767"/>
    <w:rsid w:val="008E67C0"/>
    <w:rsid w:val="008F47B1"/>
    <w:rsid w:val="008F4A07"/>
    <w:rsid w:val="00900A8C"/>
    <w:rsid w:val="00906E14"/>
    <w:rsid w:val="0090729D"/>
    <w:rsid w:val="0092042E"/>
    <w:rsid w:val="009446DD"/>
    <w:rsid w:val="0094538B"/>
    <w:rsid w:val="0095514C"/>
    <w:rsid w:val="00955C35"/>
    <w:rsid w:val="00962E0A"/>
    <w:rsid w:val="009631CE"/>
    <w:rsid w:val="009A2F86"/>
    <w:rsid w:val="009A6422"/>
    <w:rsid w:val="009B639A"/>
    <w:rsid w:val="009B754D"/>
    <w:rsid w:val="009C0D65"/>
    <w:rsid w:val="009C1D6D"/>
    <w:rsid w:val="009E56CB"/>
    <w:rsid w:val="00A05B12"/>
    <w:rsid w:val="00A14212"/>
    <w:rsid w:val="00A15551"/>
    <w:rsid w:val="00A15780"/>
    <w:rsid w:val="00A31676"/>
    <w:rsid w:val="00A40D3D"/>
    <w:rsid w:val="00A47676"/>
    <w:rsid w:val="00A619E7"/>
    <w:rsid w:val="00A66B6E"/>
    <w:rsid w:val="00A718B4"/>
    <w:rsid w:val="00A76193"/>
    <w:rsid w:val="00A8369C"/>
    <w:rsid w:val="00A9193D"/>
    <w:rsid w:val="00A93161"/>
    <w:rsid w:val="00A94491"/>
    <w:rsid w:val="00AA0CC9"/>
    <w:rsid w:val="00AA1C51"/>
    <w:rsid w:val="00AB4330"/>
    <w:rsid w:val="00AB5571"/>
    <w:rsid w:val="00AC29B5"/>
    <w:rsid w:val="00AC2E76"/>
    <w:rsid w:val="00AD3EFC"/>
    <w:rsid w:val="00AE016C"/>
    <w:rsid w:val="00AE2EE3"/>
    <w:rsid w:val="00B038B2"/>
    <w:rsid w:val="00B070C6"/>
    <w:rsid w:val="00B15EAF"/>
    <w:rsid w:val="00B16286"/>
    <w:rsid w:val="00B178F1"/>
    <w:rsid w:val="00B21392"/>
    <w:rsid w:val="00B22886"/>
    <w:rsid w:val="00B25117"/>
    <w:rsid w:val="00B272B9"/>
    <w:rsid w:val="00B27BE9"/>
    <w:rsid w:val="00B44E72"/>
    <w:rsid w:val="00B4731C"/>
    <w:rsid w:val="00B525FF"/>
    <w:rsid w:val="00B54611"/>
    <w:rsid w:val="00B62DDD"/>
    <w:rsid w:val="00B662D6"/>
    <w:rsid w:val="00B67B1D"/>
    <w:rsid w:val="00B851AA"/>
    <w:rsid w:val="00B91CB9"/>
    <w:rsid w:val="00B94C62"/>
    <w:rsid w:val="00B97114"/>
    <w:rsid w:val="00BA4613"/>
    <w:rsid w:val="00BB053C"/>
    <w:rsid w:val="00BC225B"/>
    <w:rsid w:val="00BC2F63"/>
    <w:rsid w:val="00BC4DE7"/>
    <w:rsid w:val="00BD3023"/>
    <w:rsid w:val="00BD56D4"/>
    <w:rsid w:val="00BE29C1"/>
    <w:rsid w:val="00BE2F98"/>
    <w:rsid w:val="00BE4435"/>
    <w:rsid w:val="00BE4857"/>
    <w:rsid w:val="00BF6D85"/>
    <w:rsid w:val="00C22E10"/>
    <w:rsid w:val="00C24311"/>
    <w:rsid w:val="00C27CC5"/>
    <w:rsid w:val="00C374DE"/>
    <w:rsid w:val="00C42CB2"/>
    <w:rsid w:val="00C43D84"/>
    <w:rsid w:val="00C5253F"/>
    <w:rsid w:val="00C634F5"/>
    <w:rsid w:val="00C97C6A"/>
    <w:rsid w:val="00CA4070"/>
    <w:rsid w:val="00CB6836"/>
    <w:rsid w:val="00CB6A6B"/>
    <w:rsid w:val="00CB6BC4"/>
    <w:rsid w:val="00CC1E68"/>
    <w:rsid w:val="00CD7FCE"/>
    <w:rsid w:val="00CE68F9"/>
    <w:rsid w:val="00D02C9D"/>
    <w:rsid w:val="00D05A17"/>
    <w:rsid w:val="00D2058B"/>
    <w:rsid w:val="00D40581"/>
    <w:rsid w:val="00D43B4D"/>
    <w:rsid w:val="00D43CE2"/>
    <w:rsid w:val="00D53AB6"/>
    <w:rsid w:val="00D60EBD"/>
    <w:rsid w:val="00D8316E"/>
    <w:rsid w:val="00D915F5"/>
    <w:rsid w:val="00D970AA"/>
    <w:rsid w:val="00DA66F7"/>
    <w:rsid w:val="00DB5CFC"/>
    <w:rsid w:val="00DC11E7"/>
    <w:rsid w:val="00DC4519"/>
    <w:rsid w:val="00DC7F14"/>
    <w:rsid w:val="00DD6745"/>
    <w:rsid w:val="00DD691E"/>
    <w:rsid w:val="00DE39AC"/>
    <w:rsid w:val="00DF5B58"/>
    <w:rsid w:val="00E06CEF"/>
    <w:rsid w:val="00E10050"/>
    <w:rsid w:val="00E15184"/>
    <w:rsid w:val="00E15F82"/>
    <w:rsid w:val="00E20492"/>
    <w:rsid w:val="00E27963"/>
    <w:rsid w:val="00E3325C"/>
    <w:rsid w:val="00E41B70"/>
    <w:rsid w:val="00E531BD"/>
    <w:rsid w:val="00E5345C"/>
    <w:rsid w:val="00E53D58"/>
    <w:rsid w:val="00E603DD"/>
    <w:rsid w:val="00E64786"/>
    <w:rsid w:val="00E6614E"/>
    <w:rsid w:val="00E6648D"/>
    <w:rsid w:val="00E67189"/>
    <w:rsid w:val="00E71376"/>
    <w:rsid w:val="00E72558"/>
    <w:rsid w:val="00E7642C"/>
    <w:rsid w:val="00E82E99"/>
    <w:rsid w:val="00E94824"/>
    <w:rsid w:val="00EA3F16"/>
    <w:rsid w:val="00EB2054"/>
    <w:rsid w:val="00EB3297"/>
    <w:rsid w:val="00EC588E"/>
    <w:rsid w:val="00EC7F8B"/>
    <w:rsid w:val="00ED6030"/>
    <w:rsid w:val="00ED7207"/>
    <w:rsid w:val="00ED7E03"/>
    <w:rsid w:val="00F00B39"/>
    <w:rsid w:val="00F14801"/>
    <w:rsid w:val="00F22036"/>
    <w:rsid w:val="00F2289B"/>
    <w:rsid w:val="00F42669"/>
    <w:rsid w:val="00F43DF2"/>
    <w:rsid w:val="00F50D06"/>
    <w:rsid w:val="00F5411A"/>
    <w:rsid w:val="00F6376F"/>
    <w:rsid w:val="00F7331C"/>
    <w:rsid w:val="00F77DDC"/>
    <w:rsid w:val="00F91B94"/>
    <w:rsid w:val="00F92957"/>
    <w:rsid w:val="00FA3394"/>
    <w:rsid w:val="00FA4CCE"/>
    <w:rsid w:val="00FA701F"/>
    <w:rsid w:val="00FA7695"/>
    <w:rsid w:val="00FB4571"/>
    <w:rsid w:val="00FD5FE2"/>
    <w:rsid w:val="00FD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8982B"/>
  <w15:chartTrackingRefBased/>
  <w15:docId w15:val="{28FB437A-C776-4A87-BB36-62237F9F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D5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link w:val="Ttulo1Char"/>
    <w:uiPriority w:val="9"/>
    <w:qFormat/>
    <w:rsid w:val="00191809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53D58"/>
    <w:pPr>
      <w:keepNext/>
      <w:keepLines/>
      <w:suppressAutoHyphens w:val="0"/>
      <w:autoSpaceDN/>
      <w:spacing w:before="40" w:line="360" w:lineRule="auto"/>
      <w:jc w:val="both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en-US" w:bidi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61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61EA"/>
  </w:style>
  <w:style w:type="paragraph" w:styleId="Rodap">
    <w:name w:val="footer"/>
    <w:basedOn w:val="Normal"/>
    <w:link w:val="RodapChar"/>
    <w:uiPriority w:val="99"/>
    <w:unhideWhenUsed/>
    <w:rsid w:val="007461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61EA"/>
  </w:style>
  <w:style w:type="paragraph" w:customStyle="1" w:styleId="Standard">
    <w:name w:val="Standard"/>
    <w:rsid w:val="007461EA"/>
    <w:pPr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Standard"/>
    <w:uiPriority w:val="1"/>
    <w:qFormat/>
    <w:rsid w:val="007461EA"/>
    <w:rPr>
      <w:rFonts w:ascii="Arial MT" w:eastAsia="Arial MT" w:hAnsi="Arial MT" w:cs="Arial MT"/>
      <w:lang w:val="pt-PT" w:eastAsia="en-US" w:bidi="ar-SA"/>
    </w:rPr>
  </w:style>
  <w:style w:type="paragraph" w:styleId="Lista">
    <w:name w:val="List"/>
    <w:basedOn w:val="Normal"/>
    <w:rsid w:val="00191809"/>
    <w:pPr>
      <w:suppressAutoHyphens w:val="0"/>
      <w:spacing w:after="140" w:line="276" w:lineRule="auto"/>
    </w:pPr>
  </w:style>
  <w:style w:type="paragraph" w:customStyle="1" w:styleId="TableContents">
    <w:name w:val="Table Contents"/>
    <w:basedOn w:val="Standard"/>
    <w:rsid w:val="00191809"/>
    <w:pPr>
      <w:widowControl w:val="0"/>
      <w:suppressLineNumbers/>
    </w:pPr>
  </w:style>
  <w:style w:type="paragraph" w:customStyle="1" w:styleId="Nivel2">
    <w:name w:val="Nivel 2"/>
    <w:basedOn w:val="Standard"/>
    <w:link w:val="Nivel2Char"/>
    <w:qFormat/>
    <w:rsid w:val="00191809"/>
    <w:pPr>
      <w:spacing w:before="120" w:after="120" w:line="276" w:lineRule="auto"/>
      <w:jc w:val="both"/>
    </w:pPr>
    <w:rPr>
      <w:rFonts w:ascii="Arial" w:eastAsia="Arial" w:hAnsi="Arial"/>
      <w:color w:val="000000"/>
      <w:sz w:val="20"/>
      <w:szCs w:val="20"/>
    </w:rPr>
  </w:style>
  <w:style w:type="character" w:customStyle="1" w:styleId="Nivel01Char">
    <w:name w:val="Nivel 01 Char"/>
    <w:link w:val="Nivel01"/>
    <w:locked/>
    <w:rsid w:val="00191809"/>
    <w:rPr>
      <w:rFonts w:ascii="Arial" w:eastAsia="Times New Roman" w:hAnsi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91809"/>
    <w:pPr>
      <w:tabs>
        <w:tab w:val="left" w:pos="567"/>
      </w:tabs>
      <w:suppressAutoHyphens w:val="0"/>
      <w:autoSpaceDN/>
      <w:ind w:left="360" w:hanging="360"/>
      <w:jc w:val="both"/>
      <w:textAlignment w:val="auto"/>
    </w:pPr>
    <w:rPr>
      <w:rFonts w:ascii="Arial" w:eastAsia="Times New Roman" w:hAnsi="Arial" w:cstheme="minorBidi"/>
      <w:b/>
      <w:bCs/>
      <w:color w:val="auto"/>
      <w:kern w:val="0"/>
      <w:sz w:val="22"/>
      <w:szCs w:val="22"/>
      <w:lang w:eastAsia="en-US" w:bidi="ar-SA"/>
    </w:rPr>
  </w:style>
  <w:style w:type="character" w:customStyle="1" w:styleId="Nivel2Char">
    <w:name w:val="Nivel 2 Char"/>
    <w:link w:val="Nivel2"/>
    <w:locked/>
    <w:rsid w:val="00191809"/>
    <w:rPr>
      <w:rFonts w:ascii="Arial" w:eastAsia="Arial" w:hAnsi="Arial" w:cs="Arial"/>
      <w:color w:val="000000"/>
      <w:kern w:val="3"/>
      <w:sz w:val="20"/>
      <w:szCs w:val="20"/>
      <w:lang w:eastAsia="zh-CN" w:bidi="hi-IN"/>
    </w:rPr>
  </w:style>
  <w:style w:type="character" w:styleId="Hyperlink">
    <w:name w:val="Hyperlink"/>
    <w:uiPriority w:val="99"/>
    <w:rsid w:val="00191809"/>
    <w:rPr>
      <w:color w:val="000080"/>
      <w:u w:val="single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191809"/>
    <w:pPr>
      <w:keepNext/>
      <w:keepLines/>
      <w:suppressAutoHyphens w:val="0"/>
      <w:autoSpaceDN/>
      <w:spacing w:before="240" w:after="120" w:line="276" w:lineRule="auto"/>
      <w:jc w:val="both"/>
      <w:textAlignment w:val="auto"/>
      <w:outlineLvl w:val="1"/>
    </w:pPr>
    <w:rPr>
      <w:rFonts w:ascii="Arial" w:eastAsia="MS Gothic" w:hAnsi="Arial"/>
      <w:b/>
      <w:bCs/>
      <w:kern w:val="0"/>
      <w:sz w:val="20"/>
      <w:szCs w:val="20"/>
      <w:lang w:eastAsia="pt-BR" w:bidi="ar-SA"/>
    </w:rPr>
  </w:style>
  <w:style w:type="character" w:customStyle="1" w:styleId="Nvel01-SemNumeraoChar">
    <w:name w:val="Nível 01-Sem Numeração Char"/>
    <w:link w:val="Nvel01-SemNumerao"/>
    <w:uiPriority w:val="1"/>
    <w:rsid w:val="00191809"/>
    <w:rPr>
      <w:rFonts w:ascii="Arial" w:eastAsia="MS Gothic" w:hAnsi="Arial" w:cs="Arial"/>
      <w:b/>
      <w:bCs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91809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Corpodetexto">
    <w:name w:val="Body Text"/>
    <w:basedOn w:val="Normal"/>
    <w:link w:val="CorpodetextoChar"/>
    <w:semiHidden/>
    <w:unhideWhenUsed/>
    <w:rsid w:val="00191809"/>
    <w:pPr>
      <w:autoSpaceDN/>
      <w:spacing w:after="120"/>
      <w:textAlignment w:val="auto"/>
    </w:pPr>
    <w:rPr>
      <w:rFonts w:ascii="Times New Roman" w:eastAsia="Times New Roman" w:hAnsi="Times New Roman" w:cs="Times New Roman"/>
      <w:kern w:val="0"/>
      <w:lang w:bidi="ar-SA"/>
    </w:rPr>
  </w:style>
  <w:style w:type="character" w:customStyle="1" w:styleId="CorpodetextoChar">
    <w:name w:val="Corpo de texto Char"/>
    <w:basedOn w:val="Fontepargpadro"/>
    <w:link w:val="Corpodetexto"/>
    <w:semiHidden/>
    <w:rsid w:val="0019180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qFormat/>
    <w:rsid w:val="00C5253F"/>
    <w:pPr>
      <w:ind w:left="720"/>
      <w:contextualSpacing/>
    </w:pPr>
    <w:rPr>
      <w:rFonts w:cs="Mangal"/>
      <w:szCs w:val="21"/>
    </w:rPr>
  </w:style>
  <w:style w:type="paragraph" w:customStyle="1" w:styleId="Textbody">
    <w:name w:val="Text body"/>
    <w:basedOn w:val="Standard"/>
    <w:rsid w:val="00E6614E"/>
    <w:pPr>
      <w:spacing w:after="140" w:line="276" w:lineRule="auto"/>
    </w:pPr>
  </w:style>
  <w:style w:type="paragraph" w:customStyle="1" w:styleId="NormalWeb1">
    <w:name w:val="Normal (Web)1"/>
    <w:basedOn w:val="Normal"/>
    <w:uiPriority w:val="7"/>
    <w:qFormat/>
    <w:rsid w:val="00E6614E"/>
    <w:pPr>
      <w:suppressAutoHyphens w:val="0"/>
      <w:autoSpaceDN/>
      <w:spacing w:before="280" w:after="280"/>
      <w:textAlignment w:val="auto"/>
    </w:pPr>
    <w:rPr>
      <w:rFonts w:ascii="Calibri" w:eastAsia="Calibri" w:hAnsi="Calibri" w:cs="Times New Roman"/>
      <w:kern w:val="0"/>
      <w:lang w:bidi="ar-SA"/>
    </w:rPr>
  </w:style>
  <w:style w:type="paragraph" w:customStyle="1" w:styleId="Nvel2-Red">
    <w:name w:val="Nível 2 -Red"/>
    <w:basedOn w:val="Nivel2"/>
    <w:link w:val="Nvel2-RedChar"/>
    <w:qFormat/>
    <w:rsid w:val="00E53D58"/>
    <w:rPr>
      <w:i/>
      <w:iCs/>
      <w:color w:val="FF0000"/>
    </w:rPr>
  </w:style>
  <w:style w:type="character" w:customStyle="1" w:styleId="Nvel2-RedChar">
    <w:name w:val="Nível 2 -Red Char"/>
    <w:link w:val="Nvel2-Red"/>
    <w:rsid w:val="00E53D58"/>
    <w:rPr>
      <w:rFonts w:ascii="Arial" w:eastAsia="Arial" w:hAnsi="Arial" w:cs="Arial"/>
      <w:i/>
      <w:iCs/>
      <w:color w:val="FF0000"/>
      <w:kern w:val="3"/>
      <w:sz w:val="20"/>
      <w:szCs w:val="20"/>
      <w:lang w:eastAsia="zh-CN" w:bidi="hi-IN"/>
    </w:rPr>
  </w:style>
  <w:style w:type="paragraph" w:customStyle="1" w:styleId="Nvel1-SemNum">
    <w:name w:val="Nível 1-Sem Num"/>
    <w:basedOn w:val="Normal"/>
    <w:link w:val="Nvel1-SemNumChar"/>
    <w:qFormat/>
    <w:rsid w:val="00E53D58"/>
    <w:pPr>
      <w:keepNext/>
      <w:keepLines/>
      <w:tabs>
        <w:tab w:val="left" w:pos="567"/>
      </w:tabs>
      <w:suppressAutoHyphens w:val="0"/>
      <w:autoSpaceDN/>
      <w:spacing w:before="240"/>
      <w:ind w:left="357"/>
      <w:jc w:val="both"/>
      <w:textAlignment w:val="auto"/>
      <w:outlineLvl w:val="1"/>
    </w:pPr>
    <w:rPr>
      <w:rFonts w:ascii="Arial" w:eastAsia="Times New Roman" w:hAnsi="Arial" w:cs="Times New Roman"/>
      <w:b/>
      <w:bCs/>
      <w:color w:val="FF0000"/>
      <w:kern w:val="0"/>
      <w:sz w:val="20"/>
      <w:szCs w:val="20"/>
      <w:lang w:val="x-none" w:eastAsia="x-none" w:bidi="ar-SA"/>
    </w:rPr>
  </w:style>
  <w:style w:type="character" w:customStyle="1" w:styleId="Nvel1-SemNumChar">
    <w:name w:val="Nível 1-Sem Num Char"/>
    <w:link w:val="Nvel1-SemNum"/>
    <w:rsid w:val="00E53D58"/>
    <w:rPr>
      <w:rFonts w:ascii="Arial" w:eastAsia="Times New Roman" w:hAnsi="Arial" w:cs="Times New Roman"/>
      <w:b/>
      <w:bCs/>
      <w:color w:val="FF0000"/>
      <w:sz w:val="20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53D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E53D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kern w:val="3"/>
      <w:sz w:val="24"/>
      <w:szCs w:val="24"/>
      <w:lang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0E03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0E03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table" w:styleId="Tabelacomgrade">
    <w:name w:val="Table Grid"/>
    <w:basedOn w:val="Tabelanormal"/>
    <w:uiPriority w:val="39"/>
    <w:rsid w:val="00092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rsid w:val="0029145C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semiHidden/>
    <w:unhideWhenUsed/>
    <w:rsid w:val="0029145C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2/decreto/D11246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13</Pages>
  <Words>6657</Words>
  <Characters>35953</Characters>
  <Application>Microsoft Office Word</Application>
  <DocSecurity>0</DocSecurity>
  <Lines>299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Mariane</dc:creator>
  <cp:keywords/>
  <dc:description/>
  <cp:lastModifiedBy>Usuário</cp:lastModifiedBy>
  <cp:revision>282</cp:revision>
  <cp:lastPrinted>2025-05-28T17:42:00Z</cp:lastPrinted>
  <dcterms:created xsi:type="dcterms:W3CDTF">2025-05-13T22:44:00Z</dcterms:created>
  <dcterms:modified xsi:type="dcterms:W3CDTF">2026-02-23T14:16:00Z</dcterms:modified>
</cp:coreProperties>
</file>